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SN-19345 (Sachsen) — Inkrafttreten</w:t>
      </w:r>
    </w:p>
    <w:p>
      <w:r>
        <w:rPr>
          <w:color w:val="555555"/>
          <w:sz w:val="18"/>
        </w:rPr>
        <w:t xml:space="preserve">Verordnung der Landesdirektion Sachsen zur Festsetzung des Hochwasserentstehungsgebietes „Sächsische Schweiz – linkselbisch“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Ablauf der Auslegungsfrist (vergleiche § 3 Absatz 1) in Kraft.</w:t>
      </w:r>
    </w:p>
    <w:p>
      <w:r>
        <w:t xml:space="preserve">Dresden, den 16. August 2021</w:t>
      </w:r>
    </w:p>
    <w:p>
      <w:r>
        <w:t xml:space="preserve">Landesdirektion Sachsen</w:t>
      </w:r>
    </w:p>
    <w:p>
      <w:r>
        <w:t xml:space="preserve">Kraushaar</w:t>
      </w:r>
    </w:p>
    <w:p>
      <w:r>
        <w:t xml:space="preserve">Präsidentin</w:t>
      </w:r>
    </w:p>
    <w:p>
      <w:r>
        <w:t xml:space="preserve">Hinweis:</w:t>
      </w:r>
    </w:p>
    <w:p>
      <w:r>
        <w:t xml:space="preserve">Die unter § 2 Absätze 3 bis 6 benannten Anlagen 1 bis 4 als Bestandteil dieser Verordnung können aus Platzgründen nicht in diesem Sächsischen Gesetz- und Verordnungsblatt abgedruckt werden. Sie sind einsehbar auf der Homepage der Landesdirektion Sachsen unter www.lds.sachsen.de/umwelt , Rubrik Oberflächenwasser &amp; Hochwasserschutz, Hochwasserentstehungsgebiete.</w:t>
      </w:r>
    </w:p>
    <w:p>
      <w:r>
        <w:rPr>
          <w:color w:val="555555"/>
          <w:sz w:val="17"/>
        </w:rPr>
        <w:t xml:space="preserve">Zitiervorschlag: § 4 SN-19345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https://recht.nulegal.eu/gesetze/SN-19345/4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