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SN-19345 (Sachsen) — Räumlicher Geltungsbereich</w:t>
      </w:r>
    </w:p>
    <w:p>
      <w:r>
        <w:rPr>
          <w:color w:val="555555"/>
          <w:sz w:val="18"/>
        </w:rPr>
        <w:t xml:space="preserve">Verordnung der Landesdirektion Sachsen zur Festsetzung des Hochwasserentstehungsgebietes „Sächsische Schweiz – linkselbisch“</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Hochwasserentstehungsgebiet besteht aus einer zusammenhängenden Fläche mit zwei inselförmigen Flächen und hat eine Größe von 3 151 Hektar.</w:t>
      </w:r>
    </w:p>
    <w:p>
      <w:r>
        <w:t xml:space="preserve">(2) Die Grenze des Verordnungsgebietes umfasst im Süden, beginnend an der Staatsgrenze zur Tschechischen Republik, die westlichen und östlichen Hänge der Biela. Zum Verordnungsgebiet gehören in nördlicher Richtung die Ortslage Hermsdorf mit angrenzenden Ackerflächen sowie in südöstlicher Richtung die Ortslage Rosenthal mit dem Rosenthaler Bach sowie Wald- und Ackerflächen um den Schleifersberg und dem Bielbach.</w:t>
      </w:r>
    </w:p>
    <w:p>
      <w:r>
        <w:t xml:space="preserve">Die an die Gemarkung Hermsdorf angrenzende Gemarkung Reichstein liegt bis auf ein Flurstück komplett im Verordnungsgebiet. Von hier verläuft das Gebiet in Richtung Osten/Südosten und schließt dabei sehr große Waldflächen ein, welche sich über die Gemarkungen Rosenthal und Cunnersdorf ausbreiten. Dabei handelt es sich um die Waldflächen um den Großen Eichberg sowie um die Erhebungen Kohlberg, Katzstein, Rotstein und Lehmhübel. Die Flüsse Lampertsbach sowie Cunnersdorfer Bach verlaufen durch diese Waldflächen und liegen somit ebenfalls im Verordnungsgebiet.</w:t>
      </w:r>
    </w:p>
    <w:p>
      <w:r>
        <w:t xml:space="preserve">Südlich des Lausehübels, in nördlicher Richtung, entlang der Gemeindegrenze Reinhardtsdorf-Schöna/Gohrisch setzt sich die Grenzziehung entlang des Krippenbaches fort, fasst dabei die Rölligmühle und die Ortslage Kleingießhübel ein und fällt anschließend entlang des Prölitzschbaches, die Zschirnstein-Gruppe einschließend, in südwestliche Richtung ab. Am Hertelsgrundbach ankommend, entlang der Schneise am Vorderen Würzhübel, trifft die Gebietsgrenze auf das Gliedenbächel und anschließend wieder auf den Krippenbach. An der Gemeindegrenze Reinhardtsdorf-Schöna/Gohrisch ankommend in südliche Richtung, endet die Gebietsgrenze an der Staatsgrenze zur Tschechischen Republik.</w:t>
      </w:r>
    </w:p>
    <w:p>
      <w:r>
        <w:t xml:space="preserve">Nicht im Verordnungsgebiet enthalten sind zwei inselförmige Flächen, südlich des Neuteiches und südlich des Cunnersdorfer Baches.</w:t>
      </w:r>
    </w:p>
    <w:p>
      <w:r>
        <w:t xml:space="preserve">Der detaillierte Grenzverlauf ist den Karten der Anlagen zu entnehmen.</w:t>
      </w:r>
    </w:p>
    <w:p>
      <w:r>
        <w:t xml:space="preserve">(3) Die Grenzen des Hochwasserentstehungsgebietes sind in einer Gesamtkarte im Maßstab 1:12 000 (Anlage 1) sowie in 48 Detailkarten im Maßstab 1:2 000 (Anlage 3) dargestellt.</w:t>
      </w:r>
    </w:p>
    <w:p>
      <w:r>
        <w:t xml:space="preserve">Das Hochwasserentstehungsgebiet liegt innerhalb dieser Grenzen und ist in den Karten farblich hervorgehoben. Maßgebend für den Grenzverlauf ist die Linienaußenkante der Grenzeintragung in den Detailkarten der Anlage 3. Die Anordnung der Detailkarten im Verhältnis zueinander und zur Gesamtkarte ist in einer Übersichtskarte der Landesdirektion Sachsen im Maßstab 1: 20 000 (Anlage 2) dargestellt.</w:t>
      </w:r>
    </w:p>
    <w:p>
      <w:r>
        <w:t xml:space="preserve">(4) Der Geltungsbereich der Verordnung umfasst die in einem Flurstücksverzeichnis der Landesdirektion Sachsen (Anlage 4) aufgeführten Flurstücke und Flurstücksteile innerhalb der in Absatz 3 festgesetzten Umgrenzung des Hochwasserentstehungsgebietes.</w:t>
      </w:r>
    </w:p>
    <w:p>
      <w:r>
        <w:t xml:space="preserve">(5) Veränderungen der Grenzen oder Bezeichnungen der vom Hochwasserentstehungsgebiet betroffenen Flurstücke verändern die festgesetzte Grenze des Hochwasserentstehungsgebietes nicht.</w:t>
      </w:r>
    </w:p>
    <w:p>
      <w:r>
        <w:t xml:space="preserve">(6) Die Anlagen 1 bis 4 sind Bestandteil der Verordnung.</w:t>
      </w:r>
    </w:p>
    <w:p>
      <w:r>
        <w:rPr>
          <w:color w:val="555555"/>
          <w:sz w:val="17"/>
        </w:rPr>
        <w:t xml:space="preserve">Zitiervorschlag: § 2 SN-19345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https://recht.nulegal.eu/gesetze/SN-19345/2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