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90 SN-19330 (Sachsen) — Tierärzte/Tierärztinnen und andere mit der Lebensmittelüberwachung beauftragte Personen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90 Tierärzte/Tierärztinnen und andere mit der Lebensmittelüberwachung beauftragte Personen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90 Tierärzte/Tierärztinnen und andere mit der Lebensmittelüberwachung beauftragte Personen</w:t>
      </w:r>
    </w:p>
    <w:p>
      <w:r>
        <w:t xml:space="preserve">Lebensmittel- und Futtermittelgesetzbuch (LFGB)</w:t>
      </w:r>
    </w:p>
    <w:p>
      <w:r>
        <w:t xml:space="preserve">Gesetz zur Ausführung des Lebensmittel- und Futtermittelgesetzbuches, des Vorläufigen Tabakgesetzes und des Verbraucherinformationsgesetzes im Freistaat Sachsen ( SächsAGLFGB-VIG )</w:t>
      </w:r>
    </w:p>
    <w:p>
      <w:r>
        <w:t xml:space="preserve">Verordnung des Sächsischen Staatsministeriums für Soziales und Verbraucherschutz über die Ausbildung und Prüfung der staatlich geprüften Lebensmittelchemiker ( LMChemAPVO )</w:t>
      </w:r>
    </w:p>
    <w:p>
      <w:r>
        <w:t xml:space="preserve">1. Approbation als Tierarzt/Tierärztin nach § 2 Abs. 1 in Verbindung mit § 4 Abs. 1 der Bundes-Tierärzteordnung 75 bis 200</w:t>
      </w:r>
    </w:p>
    <w:p>
      <w:r>
        <w:t xml:space="preserve">2. Approbation als Tierarzt/Tierärztin nach § 2 Abs. 1 in Verbindung mit § 4 Abs. 1a der Bundes-Tierärzteordnung 75 bis 270</w:t>
      </w:r>
    </w:p>
    <w:p>
      <w:r>
        <w:t xml:space="preserve">3. Approbation als Tierarzt/Tierärztin nach § 2 Abs. 1 in Verbindung mit § 4 Abs. 2 Satz 1, Abs. 3 und § 15a sowie Bescheid nach § 4 Abs. 3b der Bundes-Tierärzteordnung 160 bis 455</w:t>
      </w:r>
    </w:p>
    <w:p>
      <w:r>
        <w:t xml:space="preserve">4. Erlaubnis zur vorübergehenden Ausübung des tierärztlichen Berufes nach § 11 Abs. 1 der Bundes-Tierärzteordnung</w:t>
      </w:r>
    </w:p>
    <w:p>
      <w:r>
        <w:t xml:space="preserve">4.1 Erteilung der Erlaubnis bei Erstbeurteilung des Studienabschlusses 160 bis 455</w:t>
      </w:r>
    </w:p>
    <w:p>
      <w:r>
        <w:t xml:space="preserve">4.2 Verlängerung der Erlaubnis oder Erteilung für eine andere Beschäftigungsstelle 60 bis 135</w:t>
      </w:r>
    </w:p>
    <w:p>
      <w:r>
        <w:t xml:space="preserve">5. Ausweis über die Befähigung als staatlich geprüfter Lebensmittelchemiker nach § 15 Abs. 2 LMChemAPVO 130</w:t>
      </w:r>
    </w:p>
    <w:p>
      <w:r>
        <w:t xml:space="preserve">6. Zulassung von Sachverständigen nach § 7 Abs. 1 Satz 1 SächsAGLFGB-VIG für die Untersuchung von amtlich zurückgelassenen Proben nach § 43 Abs. 3 LFGB 230</w:t>
      </w:r>
    </w:p>
    <w:p>
      <w:r>
        <w:t xml:space="preserve">7. Änderung der Zulassung nach Tarifstelle 6 72</w:t>
      </w:r>
    </w:p>
    <w:p>
      <w:r>
        <w:t xml:space="preserve">8. Bescheinigung über eine Ausbildung nach Anhang VII Nr. 2 in Verbindung mit Artikel 50 Abs. 1 der Richtlinie 2005/36/EG 25</w:t>
      </w:r>
    </w:p>
    <w:p>
      <w:r>
        <w:t xml:space="preserve">9. Anordnung des Ruhens der Approbation nach § 8 Abs. 1 der Bundes-Tierärzteordnung 288 bis 950</w:t>
      </w:r>
    </w:p>
    <w:p>
      <w:r>
        <w:t xml:space="preserve">10. Aufhebung der Anordnung des Ruhens der Approbation nach § 8 Abs. 2 der Bundes-Tierärzteordnung 145 bis 955</w:t>
      </w:r>
    </w:p>
    <w:p>
      <w:r>
        <w:rPr>
          <w:color w:val="555555"/>
          <w:sz w:val="17"/>
        </w:rPr>
        <w:t xml:space="preserve">Zitiervorschlag: 90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