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88 SN-19330 (Sachsen) — Straßenrecht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88 Straßenrecht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88 Straßenrecht</w:t>
      </w:r>
    </w:p>
    <w:p>
      <w:r>
        <w:t xml:space="preserve">Bundesfernstraßengesetz ( FStrG)</w:t>
      </w:r>
    </w:p>
    <w:p>
      <w:r>
        <w:t xml:space="preserve">Telekommunikationsgesetz ( TKG)</w:t>
      </w:r>
    </w:p>
    <w:p>
      <w:r>
        <w:t xml:space="preserve">Sächsisches Straßengesetz ( SächsStrG )</w:t>
      </w:r>
    </w:p>
    <w:p>
      <w:r>
        <w:t xml:space="preserve">Bundes-Immissionsschutzgesetz (BImSchG)</w:t>
      </w:r>
    </w:p>
    <w:p>
      <w:r>
        <w:t xml:space="preserve">1. Erteilung einer Sondernutzungserlaubnis nach § 8 Abs. 1 Satz 2 FStrG oder § 18 Abs. 1 Satz 2 SächsStrG 50 bis 2 100</w:t>
      </w:r>
    </w:p>
    <w:p>
      <w:r>
        <w:t xml:space="preserve">2. Erteilung einer Genehmigung nach § 9 Abs. 5 FStrG oder § 24 Abs. 6 SächsStrG 70 bis 2 100</w:t>
      </w:r>
    </w:p>
    <w:p>
      <w:r>
        <w:t xml:space="preserve">3. Zulassung einer Ausnahme nach § 9 Abs. 8 Satz 1 FStrG oder § 24 Abs. 9 Satz 1 SächsStrG 135 bis 3 050</w:t>
      </w:r>
    </w:p>
    <w:p>
      <w:r>
        <w:t xml:space="preserve">4. Erteilung einer Zustimmung nach § 68 Abs. 3 Satz 1 TKG 50 bis 2 050</w:t>
      </w:r>
    </w:p>
    <w:p>
      <w:r>
        <w:t xml:space="preserve">5. Entschädigungsfestsetzung nach § 42 Abs. 3 BImSchG 5 070</w:t>
      </w:r>
    </w:p>
    <w:p>
      <w:r>
        <w:rPr>
          <w:color w:val="555555"/>
          <w:sz w:val="17"/>
        </w:rPr>
        <w:t xml:space="preserve">Zitiervorschlag: 88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https://recht.nulegal.eu/gesetze/SN-19330/88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