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86 SN-19330 (Sachsen) — Steuerrecht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86 Steuerrecht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86 Steuerrecht</w:t>
      </w:r>
    </w:p>
    <w:p>
      <w:r>
        <w:t xml:space="preserve">Abgabenordnung ( AO)</w:t>
      </w:r>
    </w:p>
    <w:p>
      <w:r>
        <w:t xml:space="preserve">Umsatzsteuergesetz ( UStG)</w:t>
      </w:r>
    </w:p>
    <w:p>
      <w:r>
        <w:t xml:space="preserve">Gesetz zur Ausführung und Ergänzung des Rechts der Industrie- und Handelskammern im Freistaat Sachsen ( SächsIHKG )</w:t>
      </w:r>
    </w:p>
    <w:p>
      <w:r>
        <w:t xml:space="preserve">1. Erteilung einer Bescheinigung nach § 4 Nr. 20 Buchst. a Satz 2 UStG 30 bis 250</w:t>
      </w:r>
    </w:p>
    <w:p>
      <w:r>
        <w:t xml:space="preserve">2. Erteilung einer Bescheinigung nach § 4 Nr. 20 Buchst. a Satz 3 UStG 30 bis 250</w:t>
      </w:r>
    </w:p>
    <w:p>
      <w:r>
        <w:t xml:space="preserve">3. Erteilung einer Bescheinigung nach § 4 Nr. 21 Buchst. a Doppelbuchst. bb UStG 10 bis 615</w:t>
      </w:r>
    </w:p>
    <w:p>
      <w:r>
        <w:t xml:space="preserve">4. Mitteilung von Besteuerungsgrundlagen an die Handwerkskammern oder die Industrie- und Handelskammern für Zwecke der Beitragserhebung je Erhebungszeitraum nach § 31 Abs. 1 AO in Verbindung mit § 113 Abs. 2 der Handwerksordnung und § 3 Abs. 2 SächsIHKG 0,08</w:t>
      </w:r>
    </w:p>
    <w:p>
      <w:r>
        <w:t xml:space="preserve">je Beitragsverpflichteten,</w:t>
      </w:r>
    </w:p>
    <w:p>
      <w:r>
        <w:t xml:space="preserve">mindestens 5</w:t>
      </w:r>
    </w:p>
    <w:p>
      <w:r>
        <w:rPr>
          <w:color w:val="555555"/>
          <w:sz w:val="17"/>
        </w:rPr>
        <w:t xml:space="preserve">Zitiervorschlag: 86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