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82 SN-19330 (Sachsen) — Saatgut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82 Saatgut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82 Saatgut</w:t>
      </w:r>
    </w:p>
    <w:p>
      <w:r>
        <w:t xml:space="preserve">Saatgutverkehrsgesetz ( SaatG)</w:t>
      </w:r>
    </w:p>
    <w:p>
      <w:r>
        <w:t xml:space="preserve">Anbaumaterialverordnung (AGOZV)</w:t>
      </w:r>
    </w:p>
    <w:p>
      <w:r>
        <w:t xml:space="preserve">1. Saatgut</w:t>
      </w:r>
    </w:p>
    <w:p>
      <w:r>
        <w:t xml:space="preserve">1.1 Anerkennung von Saatgut einschließlich der Feldbestandsprüfung nach § 4 Abs. 1 Satz 4 SaatG in Verbindung mit den §§ 4, 5, 7, 9 und 14 der Saatgutverordnung 20 bis 53</w:t>
      </w:r>
    </w:p>
    <w:p>
      <w:r>
        <w:t xml:space="preserve">je ha</w:t>
      </w:r>
    </w:p>
    <w:p>
      <w:r>
        <w:t xml:space="preserve">1.2 Nachbesichtigungen nach § 8 Abs. 1 Satz 1 der Saatgutverordnung 43 bis 130</w:t>
      </w:r>
    </w:p>
    <w:p>
      <w:r>
        <w:t xml:space="preserve">je Vermehrungsvorhaben</w:t>
      </w:r>
    </w:p>
    <w:p>
      <w:r>
        <w:t xml:space="preserve">1.3 Wiederholungsbesichtigungen nach § 10 Abs. 1 Satz 2 der Saatgutverordnung 50 bis 162</w:t>
      </w:r>
    </w:p>
    <w:p>
      <w:r>
        <w:t xml:space="preserve">1.4 Probeentnahme nach § 11 Abs. 1, 3 Satz 1 und Abs. 6 der Saatgutverordnung 30 bis 115</w:t>
      </w:r>
    </w:p>
    <w:p>
      <w:r>
        <w:t xml:space="preserve">1.5 Prüfung der Beschaffenheit des Saatgutes nach § 12 Abs. 1 Satz 1 und Abs. 4 sowie § 15 Abs. 1 der Saatgutverordnung 5 bis 140</w:t>
      </w:r>
    </w:p>
    <w:p>
      <w:r>
        <w:t xml:space="preserve">1.6 Erteilung einer Mischungsnummer nach § 27 Abs. 1 Satz 1 der Saatgutverordnung 10 bis 35</w:t>
      </w:r>
    </w:p>
    <w:p>
      <w:r>
        <w:t xml:space="preserve">1.7 Ausstellung eines Zertifikates nach § 45 Abs. 1 Satz 1 der Saatgutverordnung 5 bis 18</w:t>
      </w:r>
    </w:p>
    <w:p>
      <w:r>
        <w:t xml:space="preserve">2. Pflanzkartoffeln</w:t>
      </w:r>
    </w:p>
    <w:p>
      <w:r>
        <w:t xml:space="preserve">2.1 Anerkennung von Pflanzgut einschließlich der Feldbestandsprüfung nach § 4 Abs. 1 Satz 1 SaatG in Verbindung mit den §§ 5, 6, 9, 11 und 19 der Pflanzkartoffelverordnung 50 bis 75</w:t>
      </w:r>
    </w:p>
    <w:p>
      <w:r>
        <w:t xml:space="preserve">je ha</w:t>
      </w:r>
    </w:p>
    <w:p>
      <w:r>
        <w:t xml:space="preserve">2.2 Nach- oder Wiederholungsbesichtigung nach § 10 Abs. 1 Satz 1 und § 12 Abs. 1 Satz 2 der Pflanzkartoffelverordnung 35 bis 160</w:t>
      </w:r>
    </w:p>
    <w:p>
      <w:r>
        <w:t xml:space="preserve">je Vermehrungsvorhaben</w:t>
      </w:r>
    </w:p>
    <w:p>
      <w:r>
        <w:t xml:space="preserve">2.3 Festsetzung einer Betriebsnummer nach § 30 Abs. 4 Satz 1 der Pflanzkartoffelverordnung 25 bis 35</w:t>
      </w:r>
    </w:p>
    <w:p>
      <w:r>
        <w:t xml:space="preserve">2.4 Prüfung der Beschaffenheit und Mitteilung des Ergebnisses nach den §§ 13, 16, 17 Abs. 1 und § 18 Abs. 1 Satz 1 der Pflanzkartoffelverordnung 23 bis 395</w:t>
      </w:r>
    </w:p>
    <w:p>
      <w:r>
        <w:t xml:space="preserve">je Probe</w:t>
      </w:r>
    </w:p>
    <w:p>
      <w:r>
        <w:t xml:space="preserve">3. Anerkennung von Kern- und Steinobst nach § 14b Abs. 1 Satz 1 SaatG in Verbindung mit § 6 AGOZV 35 bis 1 080</w:t>
      </w:r>
    </w:p>
    <w:p>
      <w:r>
        <w:rPr>
          <w:color w:val="555555"/>
          <w:sz w:val="17"/>
        </w:rPr>
        <w:t xml:space="preserve">Zitiervorschlag: 82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