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80 SN-19330 (Sachsen) — Raumordnung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80 Raumordnung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80 Raumordnung</w:t>
      </w:r>
    </w:p>
    <w:p>
      <w:r>
        <w:t xml:space="preserve">Raumordnungsgesetz ( ROG)</w:t>
      </w:r>
    </w:p>
    <w:p>
      <w:r>
        <w:t xml:space="preserve">Landesplanungsgesetz ( SächsLPlG )</w:t>
      </w:r>
    </w:p>
    <w:p>
      <w:r>
        <w:t xml:space="preserve">1. Zulassung von Zielabweichungen nach § 16 Satz 1 SächsLPlG in Verbindung mit § 6 Abs. 2 Satz 1 ROG, wenn dieses Verfahren nicht mit einem Raumordnungsverfahren verbunden wird 1 000 bis 10 000</w:t>
      </w:r>
    </w:p>
    <w:p>
      <w:r>
        <w:t xml:space="preserve">2. Durchführung eines Raumordnungsverfahrens nach § 15 ROG 5 000 bis 150 000</w:t>
      </w:r>
    </w:p>
    <w:p>
      <w:r>
        <w:rPr>
          <w:color w:val="555555"/>
          <w:sz w:val="17"/>
        </w:rPr>
        <w:t xml:space="preserve">Zitiervorschlag: 80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