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64 SN-19330 (Sachsen) — Lebensmittel tierischer Herkunft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64 Lebensmittel tierischer Herkunft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64 Lebensmittel tierischer Herkunft</w:t>
      </w:r>
    </w:p>
    <w:p>
      <w:r>
        <w:t xml:space="preserve">Fischetikettierungsgesetz (FischEtikettG)</w:t>
      </w:r>
    </w:p>
    <w:p>
      <w:r>
        <w:t xml:space="preserve">1. Butter</w:t>
      </w:r>
    </w:p>
    <w:p>
      <w:r>
        <w:t xml:space="preserve">1.1 Erteilung des Rechts zur Führung der Bezeichnung „Deutsche Markenbutter“ nach § 8 Abs. 1 der Butterverordnung 370</w:t>
      </w:r>
    </w:p>
    <w:p>
      <w:r>
        <w:t xml:space="preserve">1.2 Wiederverleihung des Rechts zur Führung der Bezeichnung „Deutsche Markenbutter“ nach vorherigem Entzug nach § 8 Abs. 3 der Butterverordnung 220</w:t>
      </w:r>
    </w:p>
    <w:p>
      <w:r>
        <w:t xml:space="preserve">2. Eier und Geflügel</w:t>
      </w:r>
    </w:p>
    <w:p>
      <w:r>
        <w:t xml:space="preserve">2.1 Erlaubnis zum Sortieren von Eiern einschließlich der Erteilung einer Kennnummer nach Artikel 5 Abs. 2 Satz 3 der Verordnung (EG) Nr. 589/2008 17 bis 420</w:t>
      </w:r>
    </w:p>
    <w:p>
      <w:r>
        <w:t xml:space="preserve">2.2 Erteilung von Kennnummern für Brütereien nach Artikel 2 Abs. 1 der Verordnung (EG) Nr. 617/2008 36 bis 84</w:t>
      </w:r>
    </w:p>
    <w:p>
      <w:r>
        <w:t xml:space="preserve">2.3 Nachkontrollen oder zusätzliche Kontrollen des Fremdwassergehaltes bei gefrorenen oder tiefgefrorenen Hähnchen nach Artikel 16 Abs. 3 bis 6 der Verordnung (EG) Nr. 543/2008 sowie bei frischen, gefrorenen und tiefgefrorenen Geflügelteilstücken nach Artikel 20 Abs. 4 in Verbindung mit Artikel 16 Abs. 3 bis 6 der Verordnung (EG) Nr. 543/2008 36</w:t>
      </w:r>
    </w:p>
    <w:p>
      <w:r>
        <w:t xml:space="preserve">je angefangene halbe Stunde,</w:t>
      </w:r>
    </w:p>
    <w:p>
      <w:r>
        <w:t xml:space="preserve">zuzüglich der Kosten für die Laboruntersuchung</w:t>
      </w:r>
    </w:p>
    <w:p>
      <w:r>
        <w:t xml:space="preserve">3. Fleisch und Fisch</w:t>
      </w:r>
    </w:p>
    <w:p>
      <w:r>
        <w:t xml:space="preserve">3.1 Zulassung von Klassifizierern nach § 4 Abs. 1 Satz 1 des Fleischgesetzes 56 bis 167</w:t>
      </w:r>
    </w:p>
    <w:p>
      <w:r>
        <w:t xml:space="preserve">3.2 Nachkontrollen bei vorangegangenen Kontrollen mit Beanstandungen nach § 5 Abs. 2 Satz 1 des Handelsklassengesetzes 28</w:t>
      </w:r>
    </w:p>
    <w:p>
      <w:r>
        <w:t xml:space="preserve">je angefangene halbe Stunde</w:t>
      </w:r>
    </w:p>
    <w:p>
      <w:r>
        <w:t xml:space="preserve">3.3 Nachkontrolle bei vorangegangener Kontrolle mit Beanstandungen bei der Fischetikettierung nach § 5 Abs. 2 FischEtikettG 56</w:t>
      </w:r>
    </w:p>
    <w:p>
      <w:r>
        <w:t xml:space="preserve">je angefangene Arbeitsstunde</w:t>
      </w:r>
    </w:p>
    <w:p>
      <w:r>
        <w:rPr>
          <w:color w:val="555555"/>
          <w:sz w:val="17"/>
        </w:rPr>
        <w:t xml:space="preserve">Zitiervorschlag: 64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