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52 SN-19330 (Sachsen) — Heimarbeit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52 Heimarbeit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52 Heimarbeit</w:t>
      </w:r>
    </w:p>
    <w:p>
      <w:r>
        <w:t xml:space="preserve">1. Anmahnung zur Vorlage der Listen nach § 23 Abs. 2 in Verbindung mit § 6 Satz 2 des Heimarbeitsgesetzes 55 bis 95</w:t>
      </w:r>
    </w:p>
    <w:p>
      <w:r>
        <w:t xml:space="preserve">2. Anmahnung zur Mitteilung bei erstmaliger Ausgabe von Heimarbeit nach § 23 Abs. 2 in Verbindung mit § 7 Satz 1 des Heimarbeitsgesetzes 55 bis 200</w:t>
      </w:r>
    </w:p>
    <w:p>
      <w:r>
        <w:t xml:space="preserve">3. Aufforderung zur Unterrichtung und zur Vorlage schriftlicher Bestätigungen nach § 23 Abs. 2 in Verbindung mit § 7a des Heimarbeitsgesetzes 60 bis 300</w:t>
      </w:r>
    </w:p>
    <w:p>
      <w:r>
        <w:t xml:space="preserve">4. Aufforderung zur Erstellung und zur Auslage von Entgeltverzeichnissen nach § 23 Abs. 2 in Verbindung mit § 8 Abs. 1 Satz 1 des Heimarbeitsgesetzes 55 bis 140</w:t>
      </w:r>
    </w:p>
    <w:p>
      <w:r>
        <w:t xml:space="preserve">5. Aufforderung zur Führung und Aushändigung von Entgeltbüchern nach § 23 Abs. 2 in Verbindung mit § 9 Abs. 1 Satz 1 und 2 des Heimarbeitsgesetzes 55 bis 140</w:t>
      </w:r>
    </w:p>
    <w:p>
      <w:r>
        <w:t xml:space="preserve">6. Erteilung einer Genehmigung nach § 9 Abs. 2 des Heimarbeitsgesetzes 60 bis 300</w:t>
      </w:r>
    </w:p>
    <w:p>
      <w:r>
        <w:t xml:space="preserve">7. Anordnung nach § 10 Satz 2 des Heimarbeitsgesetzes 55 bis 400</w:t>
      </w:r>
    </w:p>
    <w:p>
      <w:r>
        <w:t xml:space="preserve">8. Aufforderung zur Erstattung einer Anzeige nach § 3 Abs. 2 in Verbindung mit § 15 des Heimarbeitsgesetzes 55 bis 100</w:t>
      </w:r>
    </w:p>
    <w:p>
      <w:r>
        <w:t xml:space="preserve">9. Anordnung nach § 16a Satz 1 des Heimarbeitsgesetzes 55 bis 500</w:t>
      </w:r>
    </w:p>
    <w:p>
      <w:r>
        <w:t xml:space="preserve">10. Billigung nach § 19 Abs. 3 Satz 3 des Heimarbeitsgesetzes kostenfrei</w:t>
      </w:r>
    </w:p>
    <w:p>
      <w:r>
        <w:t xml:space="preserve">11. Berechnungshilfe nach § 23 Abs. 2 des Heimarbeitsgesetzes 34</w:t>
      </w:r>
    </w:p>
    <w:p>
      <w:r>
        <w:t xml:space="preserve">je angefangene halbe Stunde</w:t>
      </w:r>
    </w:p>
    <w:p>
      <w:r>
        <w:t xml:space="preserve">12. Förmliche Aufforderung nach § 24 Satz 1 und 2 des Heimarbeitsgesetzes 34</w:t>
      </w:r>
    </w:p>
    <w:p>
      <w:r>
        <w:t xml:space="preserve">je angefangene halbe Stunde</w:t>
      </w:r>
    </w:p>
    <w:p>
      <w:r>
        <w:t xml:space="preserve">13. Förmliche Anordnung nach § 26 Abs. 1 und 2 Satz 1 in Verbindung mit § 24 Satz 1 und 2 des Heimarbeitsgesetzes 55 bis 300</w:t>
      </w:r>
    </w:p>
    <w:p>
      <w:r>
        <w:t xml:space="preserve">14. Aufforderung zur Auskunft und Vorlage nach § 28 Abs. 1 Satz 1 des Heimarbeitsgesetzes nach erfolglosem Hinweis 55 bis 400</w:t>
      </w:r>
    </w:p>
    <w:p>
      <w:r>
        <w:t xml:space="preserve">15. Verbot nach § 30 des Heimarbeitsgesetzes 75 bis 750</w:t>
      </w:r>
    </w:p>
    <w:p>
      <w:r>
        <w:rPr>
          <w:color w:val="555555"/>
          <w:sz w:val="17"/>
        </w:rPr>
        <w:t xml:space="preserve">Zitiervorschlag: 52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