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43 SN-19330 (Sachsen) — Gaststättenwesen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43 Gaststättenwesen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43 Gaststättenwesen</w:t>
      </w:r>
    </w:p>
    <w:p>
      <w:r>
        <w:t xml:space="preserve">Sächsisches Gaststättengesetz ( SächsGastG )</w:t>
      </w:r>
    </w:p>
    <w:p>
      <w:r>
        <w:t xml:space="preserve">1. Erteilung einer Bescheinigung nach § 2 Abs. 1 Satz 5 SächsGastG in Verbindung mit § 15 Abs. 1 der Gewerbeordnung 20 bis 115</w:t>
      </w:r>
    </w:p>
    <w:p>
      <w:r>
        <w:t xml:space="preserve">2. Erteilung einer Bescheinigung über den Empfang einer Anzeige nach § 2 Abs. 2 SächsGastG 15 bis 70</w:t>
      </w:r>
    </w:p>
    <w:p>
      <w:r>
        <w:t xml:space="preserve">3. Untersagung nach § 2 Abs. 5 SächsGastG 17 bis 335</w:t>
      </w:r>
    </w:p>
    <w:p>
      <w:r>
        <w:t xml:space="preserve">4. Erteilung einer Bescheinigung nach § 4 Abs. 1 Satz 4 SächsGastG 15 bis 70</w:t>
      </w:r>
    </w:p>
    <w:p>
      <w:r>
        <w:t xml:space="preserve">5. Untersagung nach § 4 Abs. 4 Satz 1 SächsGastG 17 bis 335</w:t>
      </w:r>
    </w:p>
    <w:p>
      <w:r>
        <w:t xml:space="preserve">6. Erlass von Anordnungen nach § 5 Abs. 1 Satz 1 SächsGastG 56 bis 335</w:t>
      </w:r>
    </w:p>
    <w:p>
      <w:r>
        <w:t xml:space="preserve">7. Untersagung nach § 5 Abs. 2 SächsGastG 17 bis 335</w:t>
      </w:r>
    </w:p>
    <w:p>
      <w:r>
        <w:t xml:space="preserve">8. Zulassung einer Ausnahme nach § 8 Abs. 2 Satz 4 SächsGastG 20 bis 350</w:t>
      </w:r>
    </w:p>
    <w:p>
      <w:r>
        <w:t xml:space="preserve">9. Verlängerung der Sperrzeit nach § 9 Abs. 2 Satz 1 Nr. 2 SächsGastG 56 bis 335</w:t>
      </w:r>
    </w:p>
    <w:p>
      <w:r>
        <w:t xml:space="preserve">10. Verkürzung der Sperrzeit durch späteren Beginn nach § 9 Abs. 2 Satz 1 Nr. 2 SächsGastG</w:t>
      </w:r>
    </w:p>
    <w:p>
      <w:r>
        <w:t xml:space="preserve">10.1. für vorübergehende Anlässe befristet auf höchstens drei Nächte 20 bis 340</w:t>
      </w:r>
    </w:p>
    <w:p>
      <w:r>
        <w:t xml:space="preserve">10.2. in sonstigen Fällen 20 bis 350</w:t>
      </w:r>
    </w:p>
    <w:p>
      <w:r>
        <w:t xml:space="preserve">11. Verkürzung der Sperrzeit durch früheres Ende nach § 9 Abs. 2 Satz 1 Nr. 2 SächsGastG</w:t>
      </w:r>
    </w:p>
    <w:p>
      <w:r>
        <w:t xml:space="preserve">11.1 für vorübergehende Anlässe befristet auf höchstens drei Nächte 20 bis 340</w:t>
      </w:r>
    </w:p>
    <w:p>
      <w:r>
        <w:t xml:space="preserve">11.2 in sonstigen Fällen 20 bis 350</w:t>
      </w:r>
    </w:p>
    <w:p>
      <w:r>
        <w:t xml:space="preserve">12. Aufhebung der Sperrzeit nach § 9 Abs. 2 Satz 1 Nr. 2 SächsGastG</w:t>
      </w:r>
    </w:p>
    <w:p>
      <w:r>
        <w:t xml:space="preserve">12.1 für vorübergehende Anlässe befristet auf höchstens drei Nächte 20 bis 350</w:t>
      </w:r>
    </w:p>
    <w:p>
      <w:r>
        <w:t xml:space="preserve">12.2 in sonstigen Fällen 20 bis 350</w:t>
      </w:r>
    </w:p>
    <w:p>
      <w:r>
        <w:rPr>
          <w:color w:val="555555"/>
          <w:sz w:val="17"/>
        </w:rPr>
        <w:t xml:space="preserve">Zitiervorschlag: 43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