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SN-19330 (Sachsen) — Inkrafttreten, Außerkrafttreten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tritt am 1. Oktober 2021 in Kraft. Gleichzeitig tritt das Neunte Sächsische Kostenverzeichnis vom 21. September 2011 (SächsGVBl. S. 410), das zuletzt durch Artikel 2 des Gesetzes vom 20. August 2020 (SächsGVBl. S. 486) geändert worden ist, außer Kraft.</w:t>
      </w:r>
    </w:p>
    <w:p>
      <w:r>
        <w:t xml:space="preserve">(2) Tarifstelle 1.4 Satz 6 und 7 der laufenden Nummer 17 der Anlage 1 tritt am 1. Januar 2022 in Kraft.</w:t>
      </w:r>
    </w:p>
    <w:p>
      <w:r>
        <w:t xml:space="preserve">Dresden, den 16. August 2021</w:t>
      </w:r>
    </w:p>
    <w:p>
      <w:r>
        <w:t xml:space="preserve">Der Staatsminister der Finanzen</w:t>
      </w:r>
    </w:p>
    <w:p>
      <w:r>
        <w:t xml:space="preserve">Hartmut Vorjohann</w:t>
      </w:r>
    </w:p>
    <w:p>
      <w:r>
        <w:rPr>
          <w:color w:val="555555"/>
          <w:sz w:val="17"/>
        </w:rPr>
        <w:t xml:space="preserve">Zitiervorschlag: § 4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