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36 SN-19330 (Sachsen) — Fahrpersonalgesetz</w:t>
      </w:r>
    </w:p>
    <w:p>
      <w:r>
        <w:rPr>
          <w:color w:val="555555"/>
          <w:sz w:val="18"/>
        </w:rPr>
        <w:t xml:space="preserve">Zehntes Sächsisches Kostenverzeichnis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36 Fahrpersonalgesetz Laufende Nummer Tarifstelle Gegenstand Gebühren Schlichthoheitliche Leistung</w:t>
      </w:r>
    </w:p>
    <w:p>
      <w:r>
        <w:t xml:space="preserve">Lfd. Nr. Tarif-</w:t>
      </w:r>
    </w:p>
    <w:p>
      <w:r>
        <w:t xml:space="preserve">stelle Gegenstand Gebühren</w:t>
      </w:r>
    </w:p>
    <w:p>
      <w:r>
        <w:t xml:space="preserve">EUR Schlicht-</w:t>
      </w:r>
    </w:p>
    <w:p>
      <w:r>
        <w:t xml:space="preserve">hoheit-</w:t>
      </w:r>
    </w:p>
    <w:p>
      <w:r>
        <w:t xml:space="preserve">liche</w:t>
      </w:r>
    </w:p>
    <w:p>
      <w:r>
        <w:t xml:space="preserve">Leis-</w:t>
      </w:r>
    </w:p>
    <w:p>
      <w:r>
        <w:t xml:space="preserve">tung</w:t>
      </w:r>
    </w:p>
    <w:p>
      <w:r>
        <w:t xml:space="preserve">36 Fahrpersonalgesetz</w:t>
      </w:r>
    </w:p>
    <w:p>
      <w:r>
        <w:t xml:space="preserve">Fahrpersonalgesetz (FPersG)</w:t>
      </w:r>
    </w:p>
    <w:p>
      <w:r>
        <w:t xml:space="preserve">Fahrpersonalverordnung (FPersV)</w:t>
      </w:r>
    </w:p>
    <w:p>
      <w:r>
        <w:t xml:space="preserve">1. Aufsichtsmaßnahmen nach § 4 Abs. 1a in Verbindung mit Abs. 3 und 5 FPersG 30 bis 300</w:t>
      </w:r>
    </w:p>
    <w:p>
      <w:r>
        <w:t xml:space="preserve">2. Aufsichtsmaßnahmen nach § 4 Abs. 1a in Verbindung mit § 20 FPersV 30 bis 300</w:t>
      </w:r>
    </w:p>
    <w:p>
      <w:r>
        <w:t xml:space="preserve">3. Erst- und Folgeerteilung sowie Ersatzausstellung von Fahrtenschreiberkarten nach § 4 Abs. 1 Satz 2 FPersV einschließlich der regelmäßig anfallenden Aufwendungen für Fremdleistungen Dritter</w:t>
      </w:r>
    </w:p>
    <w:p>
      <w:r>
        <w:t xml:space="preserve">3.1 Fahrerkarte 38,72</w:t>
      </w:r>
    </w:p>
    <w:p>
      <w:r>
        <w:t xml:space="preserve">je Karte</w:t>
      </w:r>
    </w:p>
    <w:p>
      <w:r>
        <w:t xml:space="preserve">3.2 Unternehmenskarte</w:t>
      </w:r>
    </w:p>
    <w:p>
      <w:r>
        <w:t xml:space="preserve">3.2.1 bei Beantragung von bis zu zwei Karten 38,05</w:t>
      </w:r>
    </w:p>
    <w:p>
      <w:r>
        <w:t xml:space="preserve">je Karte</w:t>
      </w:r>
    </w:p>
    <w:p>
      <w:r>
        <w:t xml:space="preserve">3.2.2 bei Beantragung von mehr als zwei Karten 35,78</w:t>
      </w:r>
    </w:p>
    <w:p>
      <w:r>
        <w:t xml:space="preserve">je Karte</w:t>
      </w:r>
    </w:p>
    <w:p>
      <w:r>
        <w:t xml:space="preserve">3.3 Werkstattkarte 40,82</w:t>
      </w:r>
    </w:p>
    <w:p>
      <w:r>
        <w:t xml:space="preserve">je Karte</w:t>
      </w:r>
    </w:p>
    <w:p>
      <w:r>
        <w:t xml:space="preserve">Anmerkung</w:t>
      </w:r>
    </w:p>
    <w:p>
      <w:r>
        <w:t xml:space="preserve">zu Tarifstelle 3:</w:t>
      </w:r>
    </w:p>
    <w:p>
      <w:r>
        <w:t xml:space="preserve">Die nach Tarifstelle 3 zu erhebenden Gebühren erhöhen sich um die gesetzliche Umsatzsteuer.</w:t>
      </w:r>
    </w:p>
    <w:p>
      <w:r>
        <w:rPr>
          <w:color w:val="555555"/>
          <w:sz w:val="17"/>
        </w:rPr>
        <w:t xml:space="preserve">Zitiervorschlag: 36 SN-19330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https://recht.nulegal.eu/gesetze/SN-19330/36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