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SN-19330 (Sachsen) — Übergangsregelungen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Kosten, die vor Inkrafttreten dieser Verordnung entstanden sind, ist das Neunte Sächsische Kostenverzeichnis vom 21. September 2011 (SächsGVBl. S. 410), das zuletzt durch Artikel 2 des Gesetzes vom 20. August 2020 (SächsGVBl. S. 486) geändert worden ist, weiter anzuwenden.</w:t>
      </w:r>
    </w:p>
    <w:p>
      <w:r>
        <w:t xml:space="preserve">(2) Für Kosten, die bis zum 31. Dezember 2021 entstanden sind, ist Tarifstelle 1.4 Satz 4 der laufenden Nummer 17 der Anlage 1 des Neunten Sächsischen Kostenverzeichnisses in der bis zum 30. September 2021 geltenden Fassung weiter anzuwenden.</w:t>
      </w:r>
    </w:p>
    <w:p>
      <w:r>
        <w:rPr>
          <w:color w:val="555555"/>
          <w:sz w:val="17"/>
        </w:rPr>
        <w:t xml:space="preserve">Zitiervorschlag: § 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