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25 SN-19330 (Sachsen) — Denkmalschutz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25 Denkmalschutz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25 Denkmalschutz</w:t>
      </w:r>
    </w:p>
    <w:p>
      <w:r>
        <w:t xml:space="preserve">Sächsisches Denkmalschutzgesetz ( SächsDSchG )</w:t>
      </w:r>
    </w:p>
    <w:p>
      <w:r>
        <w:t xml:space="preserve">1. Feststellung der Denkmaleigenschaft nach § 10 Abs. 3 Satz 2 SächsDSchG 40 bis 300</w:t>
      </w:r>
    </w:p>
    <w:p>
      <w:r>
        <w:t xml:space="preserve">2. Maßnahme nach § 11 Abs. 1 SächsDSchG 40 bis 400</w:t>
      </w:r>
    </w:p>
    <w:p>
      <w:r>
        <w:t xml:space="preserve">3. Anordnung nach § 11 Abs. 2 SächsDSchG 40 bis 400</w:t>
      </w:r>
    </w:p>
    <w:p>
      <w:r>
        <w:t xml:space="preserve">4. Genehmigung nach § 12 Abs. 1 Nr. 1 bis 4 SächsDSchG 40 bis 400</w:t>
      </w:r>
    </w:p>
    <w:p>
      <w:r>
        <w:t xml:space="preserve">5. Genehmigung nach § 12 Abs. 1 Nr. 5 SächsDSchG 40 bis 600</w:t>
      </w:r>
    </w:p>
    <w:p>
      <w:r>
        <w:t xml:space="preserve">6. Genehmigung nach § 12 Abs. 2 Satz 1 und 2 SächsDSchG 30 bis 300</w:t>
      </w:r>
    </w:p>
    <w:p>
      <w:r>
        <w:t xml:space="preserve">7. Genehmigung nach § 21 Abs. 2 Satz 2 SächsDSchG 40 bis 400</w:t>
      </w:r>
    </w:p>
    <w:p>
      <w:r>
        <w:t xml:space="preserve">8. Genehmigung nach § 14 Abs. 1 Satz 1 SächsDSchG 40 bis 300</w:t>
      </w:r>
    </w:p>
    <w:p>
      <w:r>
        <w:t xml:space="preserve">9 Genehmigung nach § 22 Abs. 2 Satz 1 SächsDSchG 40 bis 200</w:t>
      </w:r>
    </w:p>
    <w:p>
      <w:r>
        <w:t xml:space="preserve">10. Befreiung nach § 23 Abs. 2 Satz 2 SächsDSchG 40 bis 150</w:t>
      </w:r>
    </w:p>
    <w:p>
      <w:r>
        <w:t xml:space="preserve">11. Genehmigung nach § 23 Abs. 3 Satz 1 SächsDSchG 40 bis 150</w:t>
      </w:r>
    </w:p>
    <w:p>
      <w:r>
        <w:t xml:space="preserve">Anmerkung</w:t>
      </w:r>
    </w:p>
    <w:p>
      <w:r>
        <w:t xml:space="preserve">zu den Tarifstellen 1 bis 11:</w:t>
      </w:r>
    </w:p>
    <w:p>
      <w:r>
        <w:t xml:space="preserve">Bei Entscheidungen wie Ablehnungen oder Teilablehnungen aufgrund der aufgeführten Vorschriften bestimmt sich die Gebühr nach § 7 Abs. 2 SächsVwKG in Verbindung mit der entsprechenden Tarifstelle</w:t>
      </w:r>
    </w:p>
    <w:p>
      <w:r>
        <w:t xml:space="preserve">12. Genehmigung nach § 14 Abs. 2 Satz 1 SächsDSchG kostenfrei</w:t>
      </w:r>
    </w:p>
    <w:p>
      <w:r>
        <w:rPr>
          <w:color w:val="555555"/>
          <w:sz w:val="17"/>
        </w:rPr>
        <w:t xml:space="preserve">Zitiervorschlag: 25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https://recht.nulegal.eu/gesetze/SN-19330/25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