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24 SN-19330 (Sachsen) — Chemikalienrecht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24 Chemikalienrecht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24 Chemikalienrecht</w:t>
      </w:r>
    </w:p>
    <w:p>
      <w:r>
        <w:t xml:space="preserve">Chemikaliengesetz (ChemG)</w:t>
      </w:r>
    </w:p>
    <w:p>
      <w:r>
        <w:t xml:space="preserve">Chemikalien-Verbotsverordnung (ChemVerbotsV)</w:t>
      </w:r>
    </w:p>
    <w:p>
      <w:r>
        <w:t xml:space="preserve">Gefahrstoffverordnung (GefStoffV)</w:t>
      </w:r>
    </w:p>
    <w:p>
      <w:r>
        <w:t xml:space="preserve">Lösemittelhaltige Farben- und Lack-Verordnung (ChemVOCFarbV)</w:t>
      </w:r>
    </w:p>
    <w:p>
      <w:r>
        <w:t xml:space="preserve">Chemikalien-Ozonschichtverordnung (ChemOzonSchichtV)</w:t>
      </w:r>
    </w:p>
    <w:p>
      <w:r>
        <w:t xml:space="preserve">Chemikalien-Klimaschutzverordnung (ChemKlimaschutzV)</w:t>
      </w:r>
    </w:p>
    <w:p>
      <w:r>
        <w:t xml:space="preserve">1. Erteilung einer GLP-Bescheinigung nach § 19b Abs. 1 Satz 1 ChemG 1 109 bis 16 169</w:t>
      </w:r>
    </w:p>
    <w:p>
      <w:r>
        <w:t xml:space="preserve">2. Überwachungsmaßnahmen nach § 21 Abs. 1 und Abs. 2 Satz 1 ChemG</w:t>
      </w:r>
    </w:p>
    <w:p>
      <w:r>
        <w:t xml:space="preserve">2.1 Überwachung der Einhaltung der Grundsätze der Guten Laborpraxis 462 bis 7 854</w:t>
      </w:r>
    </w:p>
    <w:p>
      <w:r>
        <w:t xml:space="preserve">2.2 Sonstige Überwachungsmaßnahmen, die nicht in der Tarifstelle 2.1 enthalten sind</w:t>
      </w:r>
    </w:p>
    <w:p>
      <w:r>
        <w:t xml:space="preserve">2.2.1 wenn kein Verstoß gegen Anordnungen oder Nebenbestimmungen vorliegt und keine Anordnungen geboten sind kostenfrei</w:t>
      </w:r>
    </w:p>
    <w:p>
      <w:r>
        <w:t xml:space="preserve">2.2.2 im Übrigen 56 bis 3 769</w:t>
      </w:r>
    </w:p>
    <w:p>
      <w:r>
        <w:t xml:space="preserve">Anmerkung</w:t>
      </w:r>
    </w:p>
    <w:p>
      <w:r>
        <w:t xml:space="preserve">zu Tarifstelle 2.2:</w:t>
      </w:r>
    </w:p>
    <w:p>
      <w:r>
        <w:t xml:space="preserve">Darüber hinaus werden Auslagen nach § 13 Abs. 1 Satz 2 Nr. 3 SächsVwKG nicht erhoben.</w:t>
      </w:r>
    </w:p>
    <w:p>
      <w:r>
        <w:t xml:space="preserve">3. Behördliche Anordnungen nach § 23 ChemG</w:t>
      </w:r>
    </w:p>
    <w:p>
      <w:r>
        <w:t xml:space="preserve">3.1 Anordnungen zur Beseitigung festgestellter oder Verhütung künftiger Verstöße nach § 23 Abs. 1 ChemG 67 bis 3 145</w:t>
      </w:r>
    </w:p>
    <w:p>
      <w:r>
        <w:t xml:space="preserve">3.2 Untersagung einer Arbeit nach § 23 Abs. 1a ChemG 67 bis 2 957</w:t>
      </w:r>
    </w:p>
    <w:p>
      <w:r>
        <w:t xml:space="preserve">3.3 Anordnung über Herstellung, Inverkehrbringen oder Verwendung eines Stoffes, Gemisches oder Erzeugnisses nach § 23 Abs. 2 Satz 1 und Satz 3 ChemG 67 bis 3 145</w:t>
      </w:r>
    </w:p>
    <w:p>
      <w:r>
        <w:t xml:space="preserve">3.4 Verlängerung einer Anordnung gemäß § 23 Abs. 1 Satz 1 nach § 23 Abs. 2 Satz 2 und Satz 3 ChemG 67 bis 589</w:t>
      </w:r>
    </w:p>
    <w:p>
      <w:r>
        <w:t xml:space="preserve">4. Chemikalien-Verbotsverordnung</w:t>
      </w:r>
    </w:p>
    <w:p>
      <w:r>
        <w:t xml:space="preserve">4.1 Erteilung einer Erlaubnis zur Abgabe oder Bereitstellung von Stoffen oder Gemischen nach § 6 Abs. 1 ChemVerbotsV 70 bis 1 000</w:t>
      </w:r>
    </w:p>
    <w:p>
      <w:r>
        <w:t xml:space="preserve">4.2 Anerkennung einer Anerkennung oder eines Zeugnisses nach der Pflanzenschutz-Sachkundeverordnung als Nachweis der Sachkunde für die Abgabe von Pflanzenschutzmitteln nach § 11 Abs. 2 Satz 4 ChemVerbotsV 30 bis 250</w:t>
      </w:r>
    </w:p>
    <w:p>
      <w:r>
        <w:t xml:space="preserve">4.3 Durchführung von Prüfungen zum Erwerb der Sachkunde nach § 11 Abs. 2 in Verbindung mit § 11 Abs. 1 Nr. 1 ChemVerbotsV</w:t>
      </w:r>
    </w:p>
    <w:p>
      <w:r>
        <w:t xml:space="preserve">4.3.1 Abnahme einer umfassenden Prüfung zum Erwerb der Sachkunde nach § 11 Abs. 2 Satz 1 in Verbindung mit § 11 Abs. 1 Nr. 1 ChemVerbotsV 190</w:t>
      </w:r>
    </w:p>
    <w:p>
      <w:r>
        <w:t xml:space="preserve">4.3.2 Abnahme einer eingeschränkten Prüfung zum Erwerb der Sachkunde in Bezug auf einzelne gefährliche Stoffe und Gemische nach § 11 Abs. 2 Satz 2 in Verbindung mit § 11 Abs. 1 Nr. 1 ChemVerbotsV 115 bis 135</w:t>
      </w:r>
    </w:p>
    <w:p>
      <w:r>
        <w:t xml:space="preserve">4.3.3 Abnahme einer eingeschränkten Prüfung zum Erwerb der Sachkunde in Bezug auf die Kenntnis der Vorschriften nach § 11 Abs. 2 Satz 3 in Verbindung mit § 11 Abs. 1 Nr. 1 ChemVerbotsV 90</w:t>
      </w:r>
    </w:p>
    <w:p>
      <w:r>
        <w:t xml:space="preserve">4.3.4 Anerkennung von Einrichtungen zur Durchführung der Prüfungen § 11 Abs. 1 Nr. 1 ChemVerbotsV 200 bis 800</w:t>
      </w:r>
    </w:p>
    <w:p>
      <w:r>
        <w:t xml:space="preserve">4.3.5 Anerkennung von Einrichtungen zur Durchführung von Fortbildungsveranstaltungen nach § 11 Abs. 1 Nr. 2 ChemVerbotsV 200 bis 800</w:t>
      </w:r>
    </w:p>
    <w:p>
      <w:r>
        <w:t xml:space="preserve">5. Gefahrstoffverordnung</w:t>
      </w:r>
    </w:p>
    <w:p>
      <w:r>
        <w:t xml:space="preserve">5.1 Zulassung von Ausnahmen von Vorschriften der Gefahrstoffverordnung nach § 19 Abs. 1 Satz 1 GefStoffV 70 bis 3 000</w:t>
      </w:r>
    </w:p>
    <w:p>
      <w:r>
        <w:t xml:space="preserve">5.2 Anordnung von Maßnahmen im Einzelfall nach § 19 Abs. 3 Satz 1 GefStoffV 67 bis 930</w:t>
      </w:r>
    </w:p>
    <w:p>
      <w:r>
        <w:t xml:space="preserve">5.3 Untersagung der Tätigkeit mit Gefahrstoffen bei Nichtvorlage einer Gefährdungsbeurteilung nach § 19 Abs. 5 GefStoffV 67 bis 930</w:t>
      </w:r>
    </w:p>
    <w:p>
      <w:r>
        <w:t xml:space="preserve">5.4 Anerkennung eines Sachkundelehrganges nach Anhang I Nr. 2.4.2 Abs. 3 Satz 3 GefStoffV 200 bis 1 000</w:t>
      </w:r>
    </w:p>
    <w:p>
      <w:r>
        <w:t xml:space="preserve">5.5 Erteilung eines Sachkundenachweises nach Anhang I Nr. 2.4.2 Abs. 3 Satz 3 GefStoffV 60</w:t>
      </w:r>
    </w:p>
    <w:p>
      <w:r>
        <w:t xml:space="preserve">5.6 Zulassung von Fachbetrieben für Abbruch- und Sanierungsarbeiten bei Vorhandensein von Asbest in schwach gebundener Form nach Anhang I Nr. 2.4.2 Abs. 4 Satz 1 GefStoffV 210 bis 3 000</w:t>
      </w:r>
    </w:p>
    <w:p>
      <w:r>
        <w:t xml:space="preserve">5.7 Anerkennung einer Prüfung oder einer Ausbildung im Bereich der Schädlingsbekämpfung als gleichwertig mit einer Prüfung nach Anhang I Nr. 3.4 Abs. 6 Satz 1 GefStoffV gemäß Anhang I Nr. 3.4 Abs. 6 Satz 2 GefStoffV 135 bis 650</w:t>
      </w:r>
    </w:p>
    <w:p>
      <w:r>
        <w:t xml:space="preserve">5.8 Erteilung der Erlaubnis zur Tätigkeit mit Begasungsmitteln nach Anhang I Nr. 4.2 Abs. 1 GefStoffV 70 bis 1 250</w:t>
      </w:r>
    </w:p>
    <w:p>
      <w:r>
        <w:t xml:space="preserve">5.9 Erteilung eines Befähigungsscheines für Begasungstätigkeiten nach Anhang I Nr. 4.3.1 Abs. 2 Satz 1 GefStoffV 70 bis 380</w:t>
      </w:r>
    </w:p>
    <w:p>
      <w:r>
        <w:t xml:space="preserve">5.10 Anerkennung von Lehrgängen für Begasungstätigkeiten nach Anhang I Nr. 4.3.1 Abs. 2 Satz 2 GefStoffV 135 bis 655</w:t>
      </w:r>
    </w:p>
    <w:p>
      <w:r>
        <w:t xml:space="preserve">5.11 Erteilung eines Zeugnisses zur Sachkundeprüfung nach Anhang I Nr. 4.3.1 Abs. 2 Satz 2 GefStoffV 60</w:t>
      </w:r>
    </w:p>
    <w:p>
      <w:r>
        <w:t xml:space="preserve">5.12 Anordnung nachträglicher Auflagen für die Erlaubnis von Begasungstätigkeiten nach Anhang I Nr. 4.3.1 Abs. 3 Satz 2 GefStoffV 35 bis 280</w:t>
      </w:r>
    </w:p>
    <w:p>
      <w:r>
        <w:t xml:space="preserve">5.13 Zulassung von Ausnahmen nach Anhang I Nr. 4.3.2 Abs. 1 Satz 2 in Verbindung mit § 19 Abs. 1 GefStoffV 55 bis 500</w:t>
      </w:r>
    </w:p>
    <w:p>
      <w:r>
        <w:t xml:space="preserve">6. Erteilung einer Erlaubnis nach § 3 Abs. 3 Buchst. b Satz 2 ChemVOCFarbV 97 bis 1 044</w:t>
      </w:r>
    </w:p>
    <w:p>
      <w:r>
        <w:t xml:space="preserve">7. Erteilung einer Erlaubnis nach Artikel 10 der Verordnung (EG) Nr. 1005/2009</w:t>
      </w:r>
    </w:p>
    <w:p>
      <w:r>
        <w:t xml:space="preserve">7.1 Erteilung einer Erlaubnis nach Artikel 10 Abs. 7 Satz 1 der Verordnung (EG) Nr. 1005/2009 228 bis 2 204</w:t>
      </w:r>
    </w:p>
    <w:p>
      <w:r>
        <w:t xml:space="preserve">7.2 Erteilung einer Erlaubnis nach Artikel 10 Abs. 8 Satz 1 der Verordnung (EG) Nr. 1005/2009 228 bis 2 204</w:t>
      </w:r>
    </w:p>
    <w:p>
      <w:r>
        <w:t xml:space="preserve">8. Anerkennung einer Fortbildungsveranstaltung nach § 5 Abs. 2 Nr. 1 ChemOzonSchichtV 160 bis 959</w:t>
      </w:r>
    </w:p>
    <w:p>
      <w:r>
        <w:t xml:space="preserve">9. Chemikalien-Klimaschutzverordnung</w:t>
      </w:r>
    </w:p>
    <w:p>
      <w:r>
        <w:t xml:space="preserve">9.1 Anerkennung einer Aus- oder Fortbildungseinrichtung oder eines Unternehmens nach § 5 Abs. 3 ChemKlimaschutzV 160 bis 1 481</w:t>
      </w:r>
    </w:p>
    <w:p>
      <w:r>
        <w:t xml:space="preserve">9.2 Erteilung eines Unternehmenszertifikates nach § 6 Abs. 2 ChemKlimaschtzV 127 bis 749</w:t>
      </w:r>
    </w:p>
    <w:p>
      <w:r>
        <w:rPr>
          <w:color w:val="555555"/>
          <w:sz w:val="17"/>
        </w:rPr>
        <w:t xml:space="preserve">Zitiervorschlag: 24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https://recht.nulegal.eu/gesetze/SN-19330/24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