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22 SN-19330 (Sachsen) — Betäubungsmittelrecht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22 Betäubungsmittelrecht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22 Betäubungsmittelrecht</w:t>
      </w:r>
    </w:p>
    <w:p>
      <w:r>
        <w:t xml:space="preserve">Betäubungsmittelgesetz (BtMG)</w:t>
      </w:r>
    </w:p>
    <w:p>
      <w:r>
        <w:t xml:space="preserve">1. Staatliche Anerkennung einer Einrichtung nach den Ziffern I, II und III der Verwaltungsvorschrift des Sächsischen Staatsministeriums für Soziales über die staatliche Anerkennung von Einrichtungen gemäß § 35 Abs. 1 Satz 2 und § 36 Abs. 1 Satz 1 des Betäubungsmittelgesetzes vom 18. November 2008 320</w:t>
      </w:r>
    </w:p>
    <w:p>
      <w:r>
        <w:t xml:space="preserve">2. Überprüfung des Vorliegens der Anerkennungsvoraussetzungen nach Ziffer IV, Nr. 2 der Verwaltungsvorschrift des Sächsischen Staatsministeriums für Soziales über die staatliche Anerkennung von Einrichtungen gemäß § 35 Abs. 1 Satz 2 und § 36 Abs. 1 Satz 1 des Betäubungsmittelgesetzes vom 18. November 2008 51</w:t>
      </w:r>
    </w:p>
    <w:p>
      <w:r>
        <w:t xml:space="preserve">3. Maßnahmen zur Überwachung des Betäubungsmittelverkehrs bei Ärzten/Ärztinnen, Zahnärzten/Zahnärztinnen, Apotheken/Apothekerinnen und Krankenhäusern nach § 19 Abs. 1 Satz 3 BtMG 67 bis 2 041</w:t>
      </w:r>
    </w:p>
    <w:p>
      <w:r>
        <w:rPr>
          <w:color w:val="555555"/>
          <w:sz w:val="17"/>
        </w:rPr>
        <w:t xml:space="preserve">Zitiervorschlag: 22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https://recht.nulegal.eu/gesetze/SN-19330/22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