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21 SN-19330 (Sachsen) — Bestattungswesen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21 Bestattungswesen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21 Bestattungswesen</w:t>
      </w:r>
    </w:p>
    <w:p>
      <w:r>
        <w:t xml:space="preserve">Sächsisches Bestattungsgesetz ( SächsBestG )</w:t>
      </w:r>
    </w:p>
    <w:p>
      <w:r>
        <w:t xml:space="preserve">1. Erteilung einer Ausnahmegenehmigungen nach § 17 Abs. 2 SächsBestG 20 bis 25</w:t>
      </w:r>
    </w:p>
    <w:p>
      <w:r>
        <w:t xml:space="preserve">2. Ausstellung eines Leichenpasses nach § 17 Abs. 3 Satz 1 SächsBestG 30 bis 90</w:t>
      </w:r>
    </w:p>
    <w:p>
      <w:r>
        <w:t xml:space="preserve">3. Unbedenklichkeitserklärung nach § 18b Abs. 2 Satz 2 SächsBestG 20 bis 50</w:t>
      </w:r>
    </w:p>
    <w:p>
      <w:r>
        <w:t xml:space="preserve">4. Ausstellung einer Genehmigung zur Verkürzung oder Verlängerung der Bestattungsfrist nach § 19 Abs. 3 SächsBestG 25 bis 35</w:t>
      </w:r>
    </w:p>
    <w:p>
      <w:r>
        <w:t xml:space="preserve">5. Erteilung einer schriftlichen Genehmigung zur Ausgrabung oder Umbettung einer Leiche oder Urne ohne Ortsbesichtigung nach § 22 Abs. 2 SächsBestG 25 bis 35</w:t>
      </w:r>
    </w:p>
    <w:p>
      <w:r>
        <w:t xml:space="preserve">6. Erteilung einer schriftlichen Genehmigung zur Ausgrabung oder Umbettung einer Leiche oder Urne mit Ortsbesichtigung nach § 22 Abs. 2 SächsBestG 210</w:t>
      </w:r>
    </w:p>
    <w:p>
      <w:r>
        <w:t xml:space="preserve">7. Durchführung der zweiten Leichenschau nach § 18b Abs. 2 bis Abs. 5 SächsBestG 15 bis 40</w:t>
      </w:r>
    </w:p>
    <w:p>
      <w:r>
        <w:rPr>
          <w:color w:val="555555"/>
          <w:sz w:val="17"/>
        </w:rPr>
        <w:t xml:space="preserve">Zitiervorschlag: 21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