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SN-19330 (Sachsen) — Rahmengebühren bei Genehmigungen im Sinne der Richtlinie 2006/123/EG</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Ermittlung der folgenden Gebühren innerhalb der Gebührenrahmen nach Anlage 1 sind die Maßstäbe des Artikels 13 Absatz 2 Satz 2 der Richtlinie 2006/123/EG des Europäischen Parlaments und des Rates vom 12. Dezember 2006 über Dienstleistungen im Binnenmarkt (ABl. L 376 vom 27.12.2006, S. 36) und des § 4 Absatz 2 Satz 1 bis 4 des Sächsischen Verwaltungskostengesetzes anzuwenden:</w:t>
      </w:r>
    </w:p>
    <w:p>
      <w:r>
        <w:t xml:space="preserve">1. laufende Nummer 16 Tarifstellen 6.1 bis 6.3,</w:t>
      </w:r>
    </w:p>
    <w:p>
      <w:r>
        <w:t xml:space="preserve">2. laufende Nummer 17 Tarifstellen 7.1.3 bis 7.1.7,</w:t>
      </w:r>
    </w:p>
    <w:p>
      <w:r>
        <w:t xml:space="preserve">3. laufende Nummer 18 Tarifstelle 5.1,</w:t>
      </w:r>
    </w:p>
    <w:p>
      <w:r>
        <w:t xml:space="preserve">4. laufende Nummer 24 Tarifstellen 1, 6 bis 9.2,</w:t>
      </w:r>
    </w:p>
    <w:p>
      <w:r>
        <w:t xml:space="preserve">5. laufende Nummer 26 Tarifstelle 4,</w:t>
      </w:r>
    </w:p>
    <w:p>
      <w:r>
        <w:t xml:space="preserve">6. laufende Nummer 33 Tarifstellen 1 bis 4,</w:t>
      </w:r>
    </w:p>
    <w:p>
      <w:r>
        <w:t xml:space="preserve">7. laufende Nummer 34 Tarifstelle 1,</w:t>
      </w:r>
    </w:p>
    <w:p>
      <w:r>
        <w:t xml:space="preserve">8. laufende Nummer 42 Tarifstelle 8,</w:t>
      </w:r>
    </w:p>
    <w:p>
      <w:r>
        <w:t xml:space="preserve">9. laufende Nummer 43 Tarifstellen 1, 2, 4 und 8,</w:t>
      </w:r>
    </w:p>
    <w:p>
      <w:r>
        <w:t xml:space="preserve">10. laufende Nummer 45 Tarifstelle 23,</w:t>
      </w:r>
    </w:p>
    <w:p>
      <w:r>
        <w:t xml:space="preserve">11. laufende Nummer 46 Tarifstellen 2, 6, 17 bis 22, 24, 25.1, 30 bis 32, 34.1, 35, 36.2 bis 42, 48, 49, 52 und 54,</w:t>
      </w:r>
    </w:p>
    <w:p>
      <w:r>
        <w:t xml:space="preserve">12. laufende Nummer 53 Tarifstellen 2 und 5,</w:t>
      </w:r>
    </w:p>
    <w:p>
      <w:r>
        <w:t xml:space="preserve">13. laufende Nummer 54 Tarifstellen 1.23, 1.28 und 5.6,</w:t>
      </w:r>
    </w:p>
    <w:p>
      <w:r>
        <w:t xml:space="preserve">14. laufende Nummer 63 Tarifstelle 3.1,</w:t>
      </w:r>
    </w:p>
    <w:p>
      <w:r>
        <w:t xml:space="preserve">15. laufende Nummer 64 Tarifstelle 3.1,</w:t>
      </w:r>
    </w:p>
    <w:p>
      <w:r>
        <w:t xml:space="preserve">16. laufende Nummer 73 Tarifstelle 9,</w:t>
      </w:r>
    </w:p>
    <w:p>
      <w:r>
        <w:t xml:space="preserve">17. laufende Nummer 87 Tarifstellen 1.2 bis 1.9, 1.11 bis 1.14, 1.17, 1.19, 1.21, 1.35 bis 1.37, 2.1, 2.2.1, 2.2.2.2, 2.2.3.2, 2.2.4, 2.3.1 bis 2.3.3, 2.3.6, 2.3.8, 2.3.12 bis 2.3.14, 2.4.1, 2.4.2, 2.4.5.2, 2.4.6, 2.4.7.2, 2.5.1 bis 2.5.4, 2.5.7, 2.5.8, 2.6.2, 2.7 sowie</w:t>
      </w:r>
    </w:p>
    <w:p>
      <w:r>
        <w:t xml:space="preserve">18. laufende Nummer 99 Tarifstellen 3.1 und 3.2.</w:t>
      </w:r>
    </w:p>
    <w:p>
      <w:r>
        <w:t xml:space="preserve">Satz 1 gilt nicht für die Gebühren nach Anlage 1 laufende Nummer 46 Tarifstellen 30 bis 32 und laufende Nummer 63 Tarifstelle 3.1, soweit sich die Gestattung oder Beleihung nicht auf eine Dienstleistung im Sinne der Richtlinie 2006/123/EG bezieht.</w:t>
      </w:r>
    </w:p>
    <w:p>
      <w:r>
        <w:rPr>
          <w:color w:val="555555"/>
          <w:sz w:val="17"/>
        </w:rPr>
        <w:t xml:space="preserve">Zitiervorschlag: § 2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