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SN-19330 (Sachsen) — Anwendungsbereich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Anlagen 1 bis 4 regeln</w:t>
      </w:r>
    </w:p>
    <w:p>
      <w:r>
        <w:t xml:space="preserve">1. die Höhe der Verwaltungsgebühren gemäß § 3 Absatz 1 des Sächsischen Verwaltungskostengesetzes ,</w:t>
      </w:r>
    </w:p>
    <w:p>
      <w:r>
        <w:t xml:space="preserve">2. die Kostenpflichtigkeit von öffentlich-rechtlichen Leistungen im Sinne von § 2 Absatz 1 Nummer 2 des Sächsischen Verwaltungskostengesetzes gemäß § 3 Absatz 3 des Sächsischen Verwaltungskostengesetzes und von Zulassungen zu einer Prüfung, Abnahmen einer Prüfung sowie Erteilungen eines Zeugnisses über eine Prüfung gemäß § 11 Absatz 1 Nummer 17 des Sächsischen Verwaltungskostengesetzes ,</w:t>
      </w:r>
    </w:p>
    <w:p>
      <w:r>
        <w:t xml:space="preserve">3. Fälle der Nichterhebung von Kosten gemäß § 4 Absatz 4 des Sächsischen Verwaltungskostengesetzes ,</w:t>
      </w:r>
    </w:p>
    <w:p>
      <w:r>
        <w:t xml:space="preserve">4. die besonderen Auslagenregelungen gemäß § 13 Absatz 2 und 3 des Sächsischen Verwaltungskostengesetzes und</w:t>
      </w:r>
    </w:p>
    <w:p>
      <w:r>
        <w:t xml:space="preserve">5. die Höhe der Schreibauslagen gemäß § 13 Absatz 5 des Sächsischen Verwaltungskostengesetzes .</w:t>
      </w:r>
    </w:p>
    <w:p>
      <w:r>
        <w:rPr>
          <w:color w:val="555555"/>
          <w:sz w:val="17"/>
        </w:rPr>
        <w:t xml:space="preserve">Zitiervorschlag: § 1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