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SN-1923 (Sachsen)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wird verordnet aufgrund von</w:t>
      </w:r>
    </w:p>
    <w:p>
      <w:r>
        <w:t xml:space="preserve">1. § 127 Abs. 1 Nr. 19 der Gemeindeordnung für den Freistaat Sachsen ( SächGemO ) in der Fassung der Bekanntmachung vom 18. März 2003 (SächsGVBl. S. 55, 159), die durch Artikel 7 des Gesetzes vom 13. Dezember 2002 (SächsGVBl. S. 333, 351) geändert worden ist,</w:t>
      </w:r>
    </w:p>
    <w:p>
      <w:r>
        <w:t xml:space="preserve">2. § 68 Abs. 1 Nr. 17 der Landkreisordnung für den Freistaat Sachsen ( SächsLKrO ) vom 19. Juli 1993 (SächsGVBl. S. 577), die zuletzt durch Artikel 9 des Gesetzes vom 5. Mai 2004 (SächsGVBl. S. 148, 153) geändert worden ist, und</w:t>
      </w:r>
    </w:p>
    <w:p>
      <w:r>
        <w:t xml:space="preserve">3. § 79 Satz 2, § 5 Abs. 3 und § 47 Abs. 2 des Sächsischen Gesetzes über kommunale Zusammenarbeit ( SächsKomZG ) vom 19. August 1993 (SächsGVBl. S. 815, 1103), das zuletzt durch Artikel 26 des Gesetzes vom 5. Mai 2004 (SächsGVBl. S. 148, 159) geändert worden ist, in Verbindung mit § 127 Abs. 1 Nr. 19 Sächsischen Gemeindeordnung :</w:t>
      </w:r>
    </w:p>
    <w:p>
      <w:r>
        <w:rPr>
          <w:color w:val="555555"/>
          <w:sz w:val="17"/>
        </w:rPr>
        <w:t xml:space="preserve">Zitiervorschlag: Eingangsformel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