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SN-1923 (Sachsen) — Zahlungsanordnung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Zahlungsanordnung muss enthalten:</w:t>
      </w:r>
    </w:p>
    <w:p>
      <w:r>
        <w:t xml:space="preserve">1. den anzunehmenden oder auszuzahlenden Betrag;</w:t>
      </w:r>
    </w:p>
    <w:p>
      <w:r>
        <w:t xml:space="preserve">2. den Grund der Zahlung;</w:t>
      </w:r>
    </w:p>
    <w:p>
      <w:r>
        <w:t xml:space="preserve">3. den Zahlungspflichtigen oder Empfangsberechtigten;</w:t>
      </w:r>
    </w:p>
    <w:p>
      <w:r>
        <w:t xml:space="preserve">4. den Fälligkeitstag;</w:t>
      </w:r>
    </w:p>
    <w:p>
      <w:r>
        <w:t xml:space="preserve">5. den Buchungssatz, soweit erforderlich die Kostenstelle und das Haushaltsjahr;</w:t>
      </w:r>
    </w:p>
    <w:p>
      <w:r>
        <w:t xml:space="preserve">6. die Bestätigung, dass die sachliche und rechnerische Feststellung nach § 11 vorliegt;</w:t>
      </w:r>
    </w:p>
    <w:p>
      <w:r>
        <w:t xml:space="preserve">7. das Datum der Anordnung;</w:t>
      </w:r>
    </w:p>
    <w:p>
      <w:r>
        <w:t xml:space="preserve">8. die Unterschrift des Anordnungsberechtigten.</w:t>
      </w:r>
    </w:p>
    <w:p>
      <w:r>
        <w:t xml:space="preserve">Die Bestätigung nach Satz 1 Nummer 6 entfällt, wenn die sachliche und rechnerische Feststellung mit der Zahlungsanordnung verbunden ist. Bei automatisierten Verfahren kann anstelle der Unterschrift des Anordnungsberechtigten nach Satz 1 Nummer 8 die elektronische Signatur eingesetzt werden.</w:t>
      </w:r>
    </w:p>
    <w:p>
      <w:r>
        <w:t xml:space="preserve">(2) Zahlungsanordnungen sind unverzüglich zu erteilen, sobald die Verpflichtung zur Leistung, der Zahlungspflichtige oder Empfangsberechtigte, der Betrag und die Fälligkeit feststehen.</w:t>
      </w:r>
    </w:p>
    <w:p>
      <w:r>
        <w:t xml:space="preserve">(3) Auszahlungsanordnungen zu Lasten des Haushaltes dürfen nur erteilt werden, wenn die haushaltsrechtlichen Voraussetzungen vorliegen. Bei überplanmäßigen oder außerplanmäßigen Auszahlungen ist dies in der Auszahlungsanordnung zu vermerken.</w:t>
      </w:r>
    </w:p>
    <w:p>
      <w:r>
        <w:rPr>
          <w:color w:val="555555"/>
          <w:sz w:val="17"/>
        </w:rPr>
        <w:t xml:space="preserve">Zitiervorschlag: § 8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