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SN-1923 (Sachsen) — Allgemeines</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Gemeindekasse darf, wenn in dieser Verordnung nichts anderes bestimmt ist, nur aufgrund einer schriftlichen oder auf elektronischem Wege übermittelten Anordnung (Kassenanordnung)</w:t>
      </w:r>
    </w:p>
    <w:p>
      <w:r>
        <w:t xml:space="preserve">1. Einzahlungen annehmen oder Auszahlungen leisten und die damit verbundenen Buchungen vornehmen (Zahlungsanordnung: Annahmeanordnung oder Auszahlungsanordnung),</w:t>
      </w:r>
    </w:p>
    <w:p>
      <w:r>
        <w:t xml:space="preserve">2. Buchungen vornehmen, die das Ergebnis in den Büchern ändern und sich nicht in Verbindung mit einer Zahlung ergeben (Buchungsanordnung), sowie</w:t>
      </w:r>
    </w:p>
    <w:p>
      <w:r>
        <w:t xml:space="preserve">3. Gegenstände zur Verwahrung annehmen oder verwahrte Gegenstände ausliefern und die damit verbundenen Buchungen vornehmen (Einlieferungs- oder Auslieferungsanordnung).</w:t>
      </w:r>
    </w:p>
    <w:p>
      <w:r>
        <w:t xml:space="preserve">Eine Kassenanordnung, die in der Form nicht den Vorschriften des Abschnitts 2 entspricht, darf erst ausgeführt werden, wenn die anordnende Stelle sie berichtigt hat. Gibt der Inhalt einer Kassenanordnung zu Bedenken Anlass, darf diese nur ausgeführt werden, wenn die anordnende Stelle sie nach Beanstandung schriftlich aufrechterhält.</w:t>
      </w:r>
    </w:p>
    <w:p>
      <w:r>
        <w:t xml:space="preserve">(2) Der Bürgermeister regelt die Befugnis, Kassenanordnungen zu erteilen. Die Namen der Beschäftigten, die Anordnungen erteilen dürfen, sowie Form – wie Unterschrift oder elektronische Signatur – und Umfang der Anordnungsbefugnis sind der Gemeindekasse mitzuteilen. Wer nach § 11 die sachliche und rechnerische Feststellung trifft, soll nicht auch die Zahlungsanordnung erteilen.</w:t>
      </w:r>
    </w:p>
    <w:p>
      <w:r>
        <w:t xml:space="preserve">(3) Beschäftigte der Gemeindekasse sollen Kassenanordnungen weder vorbereiten noch erteilen.</w:t>
      </w:r>
    </w:p>
    <w:p>
      <w:r>
        <w:rPr>
          <w:color w:val="555555"/>
          <w:sz w:val="17"/>
        </w:rPr>
        <w:t xml:space="preserve">Zitiervorschlag: § 7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