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43 SN-1923 (Sachsen) — (aufgehoben)</w:t>
      </w:r>
    </w:p>
    <w:p>
      <w:r>
        <w:rPr>
          <w:color w:val="555555"/>
          <w:sz w:val="18"/>
        </w:rPr>
        <w:t xml:space="preserve">Sächsische Kommunale Kassen- und Buchführungsverordnung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Dresden, den 26. Januar 2005</w:t>
      </w:r>
    </w:p>
    <w:p>
      <w:r>
        <w:t xml:space="preserve">Der Staatsminister des Innern</w:t>
      </w:r>
    </w:p>
    <w:p>
      <w:r>
        <w:t xml:space="preserve">Dr. Thomas de Maizière</w:t>
      </w:r>
    </w:p>
    <w:p>
      <w:r>
        <w:rPr>
          <w:color w:val="555555"/>
          <w:sz w:val="17"/>
        </w:rPr>
        <w:t xml:space="preserve">Zitiervorschlag: § 43 SN-1923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https://recht.nulegal.eu/gesetze/SN-1923/43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