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41 SN-1923 (Sachsen) — Ersetzung von Begriffen</w:t>
      </w:r>
    </w:p>
    <w:p>
      <w:r>
        <w:rPr>
          <w:color w:val="555555"/>
          <w:sz w:val="18"/>
        </w:rPr>
        <w:t xml:space="preserve">Sächsische Kommunale Kassen- und Buchführungsverordnung</w:t>
      </w:r>
    </w:p>
    <w:p>
      <w:r>
        <w:rPr>
          <w:color w:val="555555"/>
          <w:sz w:val="18"/>
        </w:rPr>
        <w:t xml:space="preserve">Landesrecht Sachsen</w:t>
      </w:r>
    </w:p>
    <w:p>
      <w:r>
        <w:rPr>
          <w:color w:val="555555"/>
          <w:sz w:val="18"/>
        </w:rPr>
        <w:t xml:space="preserve">Stand: 26.08.2026 (konsolidierte Textfassung, kein amtliches Inkrafttretensdatum)</w:t>
      </w:r>
    </w:p>
    <w:p>
      <w:r>
        <w:t xml:space="preserve">Bei der Anwendung dieser Verordnung auf die Landkreise treten der Landkreis an die Stelle der Gemeinde, der Landrat an die Stelle des Bürgermeisters, der Kreistag an die Stelle des Gemeinderats, die Kreisverwaltung an die Stelle der Gemeindeverwaltung und die Kreiskasse an die Stelle der Gemeindekasse. Entsprechendes gilt für andere juristische Personen des öffentlichen Rechts, auf die die Vorschriften dieser Verordnung Anwendung finden.</w:t>
      </w:r>
    </w:p>
    <w:p>
      <w:r>
        <w:rPr>
          <w:color w:val="555555"/>
          <w:sz w:val="17"/>
        </w:rPr>
        <w:t xml:space="preserve">Zitiervorschlag: § 41 SN-1923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https://recht.nulegal.eu/gesetze/SN-1923/41</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