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 SN-1923 (Sachsen) — Schriftform</w:t>
      </w:r>
    </w:p>
    <w:p>
      <w:r>
        <w:rPr>
          <w:color w:val="555555"/>
          <w:sz w:val="18"/>
        </w:rPr>
        <w:t xml:space="preserve">Sächsische Kommunale Kassen- und Buchführungsverordnung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Regelungen des Bürgermeisters nach dieser Verordnung bedürfen der Schriftform.</w:t>
      </w:r>
    </w:p>
    <w:p>
      <w:r>
        <w:rPr>
          <w:color w:val="555555"/>
          <w:sz w:val="17"/>
        </w:rPr>
        <w:t xml:space="preserve">Zitiervorschlag: § 39 SN-1923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https://recht.nulegal.eu/gesetze/SN-1923/39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