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SN-1923 (Sachsen) — Zahlungsverkehr durch Dritte</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Lässt die Gemeinde nach § 87 Absatz 1 der Sächsischen Gemeindeordnung den Zahlungsverkehr ganz oder zum Teil durch eine Stelle außerhalb der Gemeindeverwaltung besorgen, muss insbesondere gewährleistet sein, dass</w:t>
      </w:r>
    </w:p>
    <w:p>
      <w:r>
        <w:t xml:space="preserve">1. Zahlungsanordnungen vor Übersendung an die erledigende Stelle registriert werden,</w:t>
      </w:r>
    </w:p>
    <w:p>
      <w:r>
        <w:t xml:space="preserve">2. die Zahlungsanordnungen an die erledigende Stelle nicht unbefugt geändert werden können und</w:t>
      </w:r>
    </w:p>
    <w:p>
      <w:r>
        <w:t xml:space="preserve">3. die erledigende Stelle</w:t>
      </w:r>
    </w:p>
    <w:p>
      <w:r>
        <w:t xml:space="preserve">a)</w:t>
      </w:r>
    </w:p>
    <w:p>
      <w:r>
        <w:t xml:space="preserve">mindestens monatlich mit der Gemeindekasse abrechnet, wenn nicht eine unmittelbare Abrechnung mit einer anderen Stelle angeordnet ist;</w:t>
      </w:r>
    </w:p>
    <w:p>
      <w:r>
        <w:t xml:space="preserve">b)</w:t>
      </w:r>
    </w:p>
    <w:p>
      <w:r>
        <w:t xml:space="preserve">die Auszahlungsnachweise für die einzelnen Auszahlungen der Gemeinde als Belege überlässt oder ihr schriftlich bestätigt, dass die Zahlungen auftragsgemäß geleistet worden sind; im letzteren Fall müssen die Auszahlungsnachweise von der erledigenden Stelle nach den für die Gemeinde geltenden Vorschriften aufbewahrt und für Prüfungen bereitgestellt werden;</w:t>
      </w:r>
    </w:p>
    <w:p>
      <w:r>
        <w:t xml:space="preserve">c)</w:t>
      </w:r>
    </w:p>
    <w:p>
      <w:r>
        <w:t xml:space="preserve">Angelegenheiten, die ihr durch die Erledigung der Kassengeschäfte zur Kenntnis gelangen, nicht unbefugt verwertet oder weitergibt;</w:t>
      </w:r>
    </w:p>
    <w:p>
      <w:r>
        <w:t xml:space="preserve">d)</w:t>
      </w:r>
    </w:p>
    <w:p>
      <w:r>
        <w:t xml:space="preserve">im Falle eines Verschuldens für Schäden der Gemeinde oder Dritter eintritt;</w:t>
      </w:r>
    </w:p>
    <w:p>
      <w:r>
        <w:t xml:space="preserve">e)</w:t>
      </w:r>
    </w:p>
    <w:p>
      <w:r>
        <w:t xml:space="preserve">den für die Prüfungen bei der Gemeinde zuständigen Prüfungsstellen Gelegenheit gibt, die ordnungsmäßige Abwicklung des Zahlungsverkehrs an Ort und Stelle zu prüfen.</w:t>
      </w:r>
    </w:p>
    <w:p>
      <w:r>
        <w:t xml:space="preserve">(2) Die erledigende Stelle muss ihre Nachweise über die Ein- und Auszahlungen wie Vorbücher zum Zeitbuch der Gemeinde führen. Die Gemeindekasse hat die von der erledigenden Stelle angenommenen Einzahlungen oder geleisteten Auszahlungen zusammengefasst in ihre Zeitbücher zu übernehmen und am Tag zu buchen, an dem die erledigende Stelle mit der Gemeindekasse abrechnet.</w:t>
      </w:r>
    </w:p>
    <w:p>
      <w:r>
        <w:rPr>
          <w:color w:val="555555"/>
          <w:sz w:val="17"/>
        </w:rPr>
        <w:t xml:space="preserve">Zitiervorschlag: § 35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