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33 SN-1923 (Sachsen) — Belege</w:t>
      </w:r>
    </w:p>
    <w:p>
      <w:r>
        <w:rPr>
          <w:color w:val="555555"/>
          <w:sz w:val="18"/>
        </w:rPr>
        <w:t xml:space="preserve">Sächsische Kommunale Kassen- und Buchführungsverordnung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Die Buchungen müssen durch Kassenanordnungen und Zahlungsnachweise, ferner durch Unterlagen, aus denen sich der Grund der Erträge oder Aufwendungen, der Einzahlungen oder Auszahlungen ergibt (begründende Unterlagen), belegt sein. Die Buchungsbelege müssen Hinweise enthalten, die eine Verbindung zu den Eintragungen in den Büchern ermöglichen. In den Fällen der §§ 9 und 10 Absatz 2 Nummer 3 sowie § 16 Absatz 3 tritt an die Stelle der Kassenanordnung die Bestätigung, dass die sachliche und rechnerische Feststellung vorliegt (§ 11).</w:t>
      </w:r>
    </w:p>
    <w:p>
      <w:r>
        <w:rPr>
          <w:color w:val="555555"/>
          <w:sz w:val="17"/>
        </w:rPr>
        <w:t xml:space="preserve">Zitiervorschlag: § 33 SN-1923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https://recht.nulegal.eu/gesetze/SN-1923/33</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