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SN-1923 (Sachsen) — Tagesabschluss</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Gemeindekasse hat</w:t>
      </w:r>
    </w:p>
    <w:p>
      <w:r>
        <w:t xml:space="preserve">1. an jedem Tag, an dem Zahlungen bewirkt worden sind, die sich auf den Kassenbestand auswirken, am Schluss des Buchungstages oder vor Beginn des folgenden Buchungstages den Kassenistbestand und</w:t>
      </w:r>
    </w:p>
    <w:p>
      <w:r>
        <w:t xml:space="preserve">2. für jeden Buchungstag unmittelbar nach Abschluss der zeitlichen Buchung oder vor Beginn des folgenden Buchungstages den Kassensollbestand</w:t>
      </w:r>
    </w:p>
    <w:p>
      <w:r>
        <w:t xml:space="preserve">zu ermitteln und jeweils sofort in das Tagesabschlussbuch zu übernehmen. Die Eintragungen sind von den an den Ermittlungen beteiligten Beschäftigten und vom Kassenverwalter zu unterschreiben. Beim Einsatz automatisierter Verfahren können die Unterschriften durch elektronische Signaturen ersetzt werden. Erfolgen die Kontogegenbuchführung und die Zeitbuchung in einem automatisierten Verfahren, können anstelle des Tagesabschlusses nach Satz 1 der Barkassenbestand und der Bestand aus den Kontogegenbüchern ermittelt und dem Bestand an Zahlungsmitteln sowie dem Bestand auf den für den Zahlungsverkehr bei Kreditinstituten errichteten Konten gegenübergestellt werden.</w:t>
      </w:r>
    </w:p>
    <w:p>
      <w:r>
        <w:t xml:space="preserve">(2) Unstimmigkeiten, die sich bei der Gegenüberstellung des Kassenistbestandes und des Kassensollbestandes ergeben, sind unverzüglich aufzuklären. Wird ein Kassenfehlbetrag nicht sofort ersetzt, ist er zunächst als durchlaufende Auszahlung zu buchen. Ein Kassenfehlbetrag ist bei der Aufstellung des Jahresabschlusses, wenn er länger als sechs Monate unaufgeklärt geblieben ist und Beschäftigte nicht haften, in der Ergebnisrechung zu buchen. Ein Kassenüberschuss ist zunächst als durchlaufende Einzahlung zu buchen. Bei der Aufstellung des Jahresabschlusses ist er, wenn er länger als sechs Monate unaufgeklärt geblieben ist, in der Ergebnisrechnung zu buchen.</w:t>
      </w:r>
    </w:p>
    <w:p>
      <w:r>
        <w:t xml:space="preserve">(3) Bei Kassen mit geringem Zahlungsverkehr kann der Bürgermeister zulassen, dass wöchentlich nur ein Abschluss vorgenommen wird.</w:t>
      </w:r>
    </w:p>
    <w:p>
      <w:r>
        <w:rPr>
          <w:color w:val="555555"/>
          <w:sz w:val="17"/>
        </w:rPr>
        <w:t xml:space="preserve">Zitiervorschlag: § 30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