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SN-1923 (Sachsen) — Hauptbuch</w:t>
      </w:r>
    </w:p>
    <w:p>
      <w:r>
        <w:rPr>
          <w:color w:val="555555"/>
          <w:sz w:val="18"/>
        </w:rPr>
        <w:t xml:space="preserve">Sächsische Kommunale Kassen- und Buchführungsverordnung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Hauptbuch enthält die für die Aufstellung der Ergebnisrechnung, der Finanzrechnung und der Vermögensrechnung sowie die für die sonstigen, nicht das Vermögen der Gemeinde berührenden wirtschaftlichen Vorgänge erforderlichen Sachkonten.</w:t>
      </w:r>
    </w:p>
    <w:p>
      <w:r>
        <w:t xml:space="preserve">(2) Zum Hauptbuch können Vorbücher geführt werden, aus denen die Ergebnisse in das Hauptbuch übernommen werden. Für die Vorbücher gilt § 28 Absatz 1 Satz 1 entsprechend.</w:t>
      </w:r>
    </w:p>
    <w:p>
      <w:r>
        <w:rPr>
          <w:color w:val="555555"/>
          <w:sz w:val="17"/>
        </w:rPr>
        <w:t xml:space="preserve">Zitiervorschlag: § 27 SN-1923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https://recht.nulegal.eu/gesetze/SN-1923/27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