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SN-1923 (Sachsen) — Zeitbuch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Erträge und Aufwendungen, die Einzahlungen und Auszahlungen sowie alle Vorgänge, die sich nicht in Verbindung mit einer Zahlung ergeben, sind getrennt voneinander, einzeln oder nach Absatz 3 in Summen zusammengefasst im Zeitbuch zu buchen.</w:t>
      </w:r>
    </w:p>
    <w:p>
      <w:r>
        <w:t xml:space="preserve">(2) Zum Zeitbuch können Vorbücher geführt werden, aus denen die Ergebnisse in das Zeitbuch übernommen werden. Für die Vorbücher gilt § 26 Absatz 1 entsprechend.</w:t>
      </w:r>
    </w:p>
    <w:p>
      <w:r>
        <w:t xml:space="preserve">(3) Im Zeitbuch können mehrere Beträge aufgrund von Zusammenstellungen von Belegen zusammengefasst gebucht werden. Die Zusammenstellungen sind als Belege zur Zeitbuchung aufzubewahren.</w:t>
      </w:r>
    </w:p>
    <w:p>
      <w:r>
        <w:rPr>
          <w:color w:val="555555"/>
          <w:sz w:val="17"/>
        </w:rPr>
        <w:t xml:space="preserve">Zitiervorschlag: § 25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