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SN-1923 (Sachsen) — Grundsätze für die Buchführung</w:t>
      </w:r>
    </w:p>
    <w:p>
      <w:r>
        <w:rPr>
          <w:color w:val="555555"/>
          <w:sz w:val="18"/>
        </w:rPr>
        <w:t xml:space="preserve">Sächsische Kommunale Kassen- und Buchführungsverordnung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Bücher sind so zu führen, dass</w:t>
      </w:r>
    </w:p>
    <w:p>
      <w:r>
        <w:t xml:space="preserve">1. Das Vermögen und die Schulden der Gemeinde</w:t>
      </w:r>
    </w:p>
    <w:p>
      <w:r>
        <w:t xml:space="preserve">2. alle Vorgänge, die zu einer Änderung der Höhe oder der Zusammensetzung des Vermögens und der Schulden der Gemeinde führen, insbesondere Erträge und Aufwendungen sowie Einzahlungen und Auszahlungen, und</w:t>
      </w:r>
    </w:p>
    <w:p>
      <w:r>
        <w:t xml:space="preserve">3. die sonstigen, nicht das Vermögen der Gemeinde berührenden wirtschaftlichen Vorgänge, insbesondere durchlaufende Kassenmittel,</w:t>
      </w:r>
    </w:p>
    <w:p>
      <w:r>
        <w:t xml:space="preserve">nach den Grundsätzen ordnungsmäßiger Buchführung aufgezeichnet werden. Die Aufzeichnungen in den Büchern und die sonst erforderlichen Aufzeichnungen müssen vollständig, richtig, zeitgerecht, geordnet und nachprüfbar vorgenommen werden. Werden Abkürzungen, Ziffern, Buchstaben oder Symbole verwendet, muss im Einzelfall deren Bedeutung eindeutig festliegen. Die Buchführung muss so beschaffen sein, dass sie einem sachverständigen Dritten innerhalb angemessener Zeit einen Überblick über die Verwaltungsvorfälle und die wirtschaftliche Lage der Gemeinde vermitteln kann. Die Verwaltungsvorfälle müssen sich in ihrer Entstehung und Abwicklung nachvollziehen lassen.</w:t>
      </w:r>
    </w:p>
    <w:p>
      <w:r>
        <w:t xml:space="preserve">(2) Die Bücher und die sonst erforderlichen Aufzeichnungen können im automatisierten Verfahren oder in visuell lesbarer Form geführt werden. Der Bürgermeister bestimmt, in welcher Form die Bücher geführt werden.</w:t>
      </w:r>
    </w:p>
    <w:p>
      <w:r>
        <w:t xml:space="preserve">(3) Bei visuell lesbarer Buchführung sind die Eintragungen urkundenecht vorzunehmen. Sie dürfen nur zur Berichtigung von Schreib- und Rechenfehlern und sonstigen offensichtlichen Unrichtigkeiten geändert werden. Änderungen müssen so vorgenommen werden, dass die ursprüngliche Eintragung lesbar bleibt. Bei Veränderungen muss erkennbar sein, wann sie vorgenommen wurden.</w:t>
      </w:r>
    </w:p>
    <w:p>
      <w:r>
        <w:t xml:space="preserve">(4) Die Bücher sind durch geeignete Maßnahmen gegen Verlust, Wegnahme und Veränderungen zu schützen.</w:t>
      </w:r>
    </w:p>
    <w:p>
      <w:r>
        <w:rPr>
          <w:color w:val="555555"/>
          <w:sz w:val="17"/>
        </w:rPr>
        <w:t xml:space="preserve">Zitiervorschlag: § 22 SN-1923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https://recht.nulegal.eu/gesetze/SN-1923/22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