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SN-1923 (Sachsen) — Verwahrung von Wertgegenständen</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Wertpapiere sollen einem Kreditinstitut zur Verwahrung übergeben werden. Im Übrigen sind Wertpapiere und andere Urkunden, die Vermögensrechte verbriefen oder nachweisen, von der Gemeindekasse zu verwahren. Das Gleiche gilt für Wertzeichen mit Ausnahme von Postwertzeichen und für geldwerte Drucksachen, die nach § 14 Absatz 1 Satz 1 ohne Quittung abgegeben werden. Der Bürgermeister kann eine andere Dienststelle mit der Verwahrung beauftragen.</w:t>
      </w:r>
    </w:p>
    <w:p>
      <w:r>
        <w:t xml:space="preserve">(2) Über die Annahme und Auslieferung der zu verwahrenden Wertgegenstände ist Buch zu führen. Die Annahme und Auslieferung sind zu quittieren. § 12 Absatz 2 und 3 sowie § 19 Absatz 1 gelten entsprechend.</w:t>
      </w:r>
    </w:p>
    <w:p>
      <w:r>
        <w:t xml:space="preserve">(3) Verwahrt die Gemeindekasse Wertpapiere, hat sie die Auslosung und Kündigung sowie die Zinstermine zu überwachen und die sonstigen Aufgaben des Verwahrers nach dem Depotgesetz in der Fassung der Bekanntmachung vom 11. Januar 1995 (BGBl. I S. 34), das zuletzt durch Artikel 12 des Gesetzes vom 30. Juni 2016 (BGBl. I S. 1514; 2017 I S. 559) geändert worden ist, in der jeweils geltenden Fassung, wahrzunehmen.</w:t>
      </w:r>
    </w:p>
    <w:p>
      <w:r>
        <w:rPr>
          <w:color w:val="555555"/>
          <w:sz w:val="17"/>
        </w:rPr>
        <w:t xml:space="preserve">Zitiervorschlag: § 20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