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SN-1923 (Sachsen) — Fremde Kassengeschäfte</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Gemeindekasse darf Aufgaben nach § 1 Absatz 1 und 3 für andere (fremde Kassengeschäfte) nur erledigen, wenn dies durch Gesetz oder aufgrund eines Gesetzes bestimmt oder durch den Bürgermeister angeordnet ist. Eine Anordnung ist nur zulässig, wenn dies im Interesse der Gemeinde liegt und gewährleistet ist, dass die fremden Kassengeschäfte bei der Prüfung der Gemeindekasse mitgeprüft werden können.</w:t>
      </w:r>
    </w:p>
    <w:p>
      <w:r>
        <w:t xml:space="preserve">(2) Die Vorschriften dieser Verordnung gelten für die Erledigung fremder Kassengeschäfte entsprechend, soweit nicht durch Gesetz oder aufgrund eines Gesetzes etwas anderes bestimmt ist.</w:t>
      </w:r>
    </w:p>
    <w:p>
      <w:r>
        <w:rPr>
          <w:color w:val="555555"/>
          <w:sz w:val="17"/>
        </w:rPr>
        <w:t xml:space="preserve">Zitiervorschlag: § 2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