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SN-1923 (Sachsen) — Auszahlungsnachweise</w:t>
      </w:r>
    </w:p>
    <w:p>
      <w:r>
        <w:rPr>
          <w:color w:val="555555"/>
          <w:sz w:val="18"/>
        </w:rPr>
        <w:t xml:space="preserve">Sächsische Kommunale Kassen- und Buchführungsverordnung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Gemeindekasse darf nur gegen Quittung bar auszahlen. Der Bürgermeister kann einen anderen Nachweis zulassen, wenn dem Empfänger die Ausstellung einer Quittung nicht möglich ist oder nicht zugemutet werden kann.</w:t>
      </w:r>
    </w:p>
    <w:p>
      <w:r>
        <w:t xml:space="preserve">(2) Bei unbaren Auszahlungen ist auf der Auszahlungsanordnung oder, falls eine solche nicht vorgeschrieben oder nach § 9 allgemein erteilt ist, auf der sachlichen und rechnerischen Feststellung nach § 11 oder auf einem besonderen Beleg anzugeben oder innerhalb des automatisierten Verfahrens zu dokumentieren, an welchem Tag und auf welchem Weg die Zahlung geleistet worden ist.</w:t>
      </w:r>
    </w:p>
    <w:p>
      <w:r>
        <w:rPr>
          <w:color w:val="555555"/>
          <w:sz w:val="17"/>
        </w:rPr>
        <w:t xml:space="preserve">Zitiervorschlag: § 17 SN-1923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https://recht.nulegal.eu/gesetze/SN-1923/17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