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SN-1923 (Sachsen) — Verfahren bei Stundung und zwangsweiser Einziehung</w:t>
      </w:r>
    </w:p>
    <w:p>
      <w:r>
        <w:rPr>
          <w:color w:val="555555"/>
          <w:sz w:val="18"/>
        </w:rPr>
        <w:t xml:space="preserve">Sächsische Kommunale Kassen- und Buchführungsverordnung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Dienststelle soll, wenn die zwangsweise Einziehung eingeleitet ist, eine Stundung nur im Benehmen mit der Gemeindekasse erteilen. Im Übrigen hat sie Stundungen der Gemeindekasse unverzüglich schriftlich oder auf elektronischem Weg mitzuteilen. Die Gemeindekasse darf unbeschadet des § 1 Absatz 3 Stundungen nicht gewähren; der Bürgermeister kann sie ausnahmsweise damit beauftragen, wenn dies der Verwaltungsvereinfachung dient und eine ordnungsgemäße Erledigung gewährleistet ist.</w:t>
      </w:r>
    </w:p>
    <w:p>
      <w:r>
        <w:t xml:space="preserve">(2) Die Gemeindekasse hat Einzahlungen, die nicht rechtzeitig eingegangen sind, unverzüglich zwangsweise einzuziehen oder die zwangsweise Einziehung zu veranlassen. Sie kann von der zwangsweisen Einziehung zunächst absehen, wenn zu erkennen ist, dass</w:t>
      </w:r>
    </w:p>
    <w:p>
      <w:r>
        <w:t xml:space="preserve">1. die Vollziehung des der Annahmeanordnung zugrunde liegenden Bescheides ausgesetzt wird oder</w:t>
      </w:r>
    </w:p>
    <w:p>
      <w:r>
        <w:t xml:space="preserve">2. eine Stundung, Niederschlagung oder ein Erlass in Betracht kommt.</w:t>
      </w:r>
    </w:p>
    <w:p>
      <w:r>
        <w:t xml:space="preserve">Sie hat in diesen Fällen unverzüglich die Entscheidung der zuständigen Dienststelle herbeizuführen.</w:t>
      </w:r>
    </w:p>
    <w:p>
      <w:r>
        <w:rPr>
          <w:color w:val="555555"/>
          <w:sz w:val="17"/>
        </w:rPr>
        <w:t xml:space="preserve">Zitiervorschlag: § 15 SN-1923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https://recht.nulegal.eu/gesetze/SN-1923/15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