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SN-1923 (Sachsen) — Einzahlungsquittung</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Gemeindekasse hat über jede Einzahlung, die durch Übergabe von Zahlungsmitteln entrichtet wird und nicht den Gegenwert für verkaufte Wertzeichen, geldwerte Drucksachen und andere gegen Barzahlung zu festen Preisen abgegebene Gegenstände und Leistungen darstellt, dem Einzahler eine Quittung zu erteilen. Im Übrigen hat die Gemeindekasse nur auf Verlangen Quittungen zu erteilen; dabei ist der Zahlungsweg anzugeben.</w:t>
      </w:r>
    </w:p>
    <w:p>
      <w:r>
        <w:t xml:space="preserve">(2) Wird die Einzahlung durch Übergabe eines Schecks bewirkt, ist das in der Quittung anzugeben. In diesem Fall hat die Quittung den Vermerk „Eingang vorbehalten“ zu enthalten.</w:t>
      </w:r>
    </w:p>
    <w:p>
      <w:r>
        <w:t xml:space="preserve">(3) Der Bürgermeister regelt die Form der Quittung und die Befugnis zu ihrer Erteilung. Die Regelung muss den Erfordernissen eines sicheren Zahlungsverkehrs entsprechen.</w:t>
      </w:r>
    </w:p>
    <w:p>
      <w:r>
        <w:rPr>
          <w:color w:val="555555"/>
          <w:sz w:val="17"/>
        </w:rPr>
        <w:t xml:space="preserve">Zitiervorschlag: § 14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