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SN-1923 (Sachsen) — Sachliche und rechnerische Feststellung</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Anspruch und jede Zahlungsverpflichtung sind auf ihren Grund und ihre Höhe zu prüfen. Die Richtigkeit ist schriftlich oder in elektronischer Form zu bescheinigen (sachliche und rechnerische Feststellung). In den Fällen des § 10 Absatz 2 Nummer 1 und 2 sowie Absatz 3 entfällt eine sachliche und rechnerische Feststellung.</w:t>
      </w:r>
    </w:p>
    <w:p>
      <w:r>
        <w:t xml:space="preserve">(2) Bedarf es einer Zahlungsanordnung im Sinne des § 8, ist die sachliche und rechnerische Feststellung vor Erteilung der Anordnung zu treffen. Sonst ist die Feststellung nach Eingang oder Leistung der Zahlung unverzüglich nachzuholen; die anordnungsberechtigte Stelle hat in diesen Fällen der Gemeindekasse eine Bestätigung, dass die Feststellung vorliegt, als Beleg zu übermitteln.</w:t>
      </w:r>
    </w:p>
    <w:p>
      <w:r>
        <w:t xml:space="preserve">(3) Der Bürgermeister regelt die Befugnis für die sachliche und rechnerische Feststellung und deren Form. Er kann bei automatisierten Verfahren in Ausnahmefällen andere als die in Absatz 1 Satz 2 genannten Formen zulassen, wenn durch geeignete Kontrollen die ordnungsgemäße Erledigung gesichert wird. Beschäftigten der Gemeindekasse darf die Befugnis nur erteilt werden, wenn der Sachverhalt nur von ihnen beurteilt werden kann.</w:t>
      </w:r>
    </w:p>
    <w:p>
      <w:r>
        <w:t xml:space="preserve">(4) Ausnahmen von Absatz 1 Satz 2 sind der Rechtsaufsichtsbehörde und der überörtlichen Prüfungsbehörde im Sinne des § 108 der Sächsischen Gemeindeordnung anzuzeigen.</w:t>
      </w:r>
    </w:p>
    <w:p>
      <w:r>
        <w:rPr>
          <w:color w:val="555555"/>
          <w:sz w:val="17"/>
        </w:rPr>
        <w:t xml:space="preserve">Zitiervorschlag: § 11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