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SN-1916 (Sachsen)</w:t>
      </w:r>
    </w:p>
    <w:p>
      <w:r>
        <w:rPr>
          <w:color w:val="555555"/>
          <w:sz w:val="18"/>
        </w:rPr>
        <w:t xml:space="preserve">Gesetz zu dem Staatsvertrag zwischen dem Freistaat Sachsen und dem Freistaat Thüringen über Zweckverbände, Zweckvereinbarungen sowie kommunale Arbeitsgemeinschaften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Tage nach seiner Verkündung in Kraft.</w:t>
      </w:r>
    </w:p>
    <w:p>
      <w:r>
        <w:t xml:space="preserve">(2) Der Tag, an dem der Staatsvertrag nach seinem Artikel 6 in Kraft tritt, ist im Sächsischen Gesetz- und Verordnungsblatt bekanntzugeben.</w:t>
      </w:r>
    </w:p>
    <w:p>
      <w:r>
        <w:t xml:space="preserve">Das vorstehende Gesetz wird hiermit ausgefertigt und ist zu verkünden.</w:t>
      </w:r>
    </w:p>
    <w:p>
      <w:r>
        <w:t xml:space="preserve">Dresden, den 13. Oktober 1997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 des Innern</w:t>
      </w:r>
    </w:p>
    <w:p>
      <w:r>
        <w:t xml:space="preserve">Klaus Hardraht</w:t>
      </w:r>
    </w:p>
    <w:p>
      <w:r>
        <w:rPr>
          <w:color w:val="555555"/>
          <w:sz w:val="17"/>
        </w:rPr>
        <w:t xml:space="preserve">Zitiervorschlag: Artikel 2 SN-1916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https://recht.nulegal.eu/gesetze/SN-1916/2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