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SN-19159 (Sachsen) — Zweck und Mittelverwendung des Fonds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Fonds dient der Leistung finanzieller Unterstützungen im Zusammenhang mit der Strukturentwicklung in den sächsischen Braunkohleregionen, soweit sich der Bund an den einzelnen Maßnahmen finanziell beteiligt.</w:t>
      </w:r>
    </w:p>
    <w:p>
      <w:r>
        <w:t xml:space="preserve">(2) Die konkrete Mittelverwendung des Fonds richtet sich nach den Bestimmungen des Investitionsgesetzes Kohleregionen vom 8. August 2020 (BGBl. I S. 1795) und der Bund-Länder-Vereinbarung zur Durchführung des Investitionsgesetzes Kohleregionen vom 27. August 2020 in der jeweils geltenden Fassung, soweit diese für Fördergebiete des Freistaates Sachsen gelten.</w:t>
      </w:r>
    </w:p>
    <w:p>
      <w:r>
        <w:t xml:space="preserve">(3) Aus dem Fonds sollen auch Verwaltungsausgaben, die im Zusammenhang mit der Vorbereitung und Durchführung der Maßnahmen stehen, finanziert werden.</w:t>
      </w:r>
    </w:p>
    <w:p>
      <w:r>
        <w:rPr>
          <w:color w:val="555555"/>
          <w:sz w:val="17"/>
        </w:rPr>
        <w:t xml:space="preserve">Zitiervorschlag: § 2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