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SN-19159 (Sachsen) — Errichtung des Fonds</w:t>
      </w:r>
    </w:p>
    <w:p>
      <w:r>
        <w:rPr>
          <w:color w:val="555555"/>
          <w:sz w:val="18"/>
        </w:rPr>
        <w:t xml:space="preserve">Gesetz über die Errichtung eines Sondervermögens „Strukturentwicklungsfonds sächsische Braunkohleregionen“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errichtet ein Sondervermögen mit der Bezeichnung „Strukturentwicklungsfonds sächsische Braunkohleregionen“.</w:t>
      </w:r>
    </w:p>
    <w:p>
      <w:r>
        <w:rPr>
          <w:color w:val="555555"/>
          <w:sz w:val="17"/>
        </w:rPr>
        <w:t xml:space="preserve">Zitiervorschlag: § 1 SN-19159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https://recht.nulegal.eu/gesetze/SN-19159/1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