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SN-1908 (Sachsen) — Zuständigkeit</w:t>
      </w:r>
    </w:p>
    <w:p>
      <w:r>
        <w:rPr>
          <w:color w:val="555555"/>
          <w:sz w:val="18"/>
        </w:rPr>
        <w:t xml:space="preserve">Gesetz zur Durchführung der Zusatzförderung nach § 88e des Zweiten Wohnungsbaugesetzes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Durchführung der Zusatzförderung nach § 88e des Zweiten Wohnungsbaugesetzes (Wohnungsbau- und Familienheimgesetz – II. WoBauG) in der Fassung der Bekanntmachung vom 19. August 1994 (BGBl. I S. 2137), zuletzt geändert durch Artikel 17 des Gesetzes vom 18. Dezember 1995 (BGBl. I S. 1959, 1966), wird den Landkreisen und den Kreisfreien Städten als Weisungsaufgabe übertragen. Das Weisungsrecht ist nicht beschränkt.</w:t>
      </w:r>
    </w:p>
    <w:p>
      <w:r>
        <w:t xml:space="preserve">(2) Örtlich zuständig ist die Stelle, in deren Gebiet sich die Wohnung befindet, die Gegenstand der Zusatzförderung ist.</w:t>
      </w:r>
    </w:p>
    <w:p>
      <w:r>
        <w:rPr>
          <w:color w:val="555555"/>
          <w:sz w:val="17"/>
        </w:rPr>
        <w:t xml:space="preserve">Zitiervorschlag: § 1 SN-1908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