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Volltext SN-19075 (Sachsen) — Protokollerklärung Sachsen-Anhalt:</w:t>
      </w:r>
    </w:p>
    <w:p>
      <w:r>
        <w:rPr>
          <w:color w:val="555555"/>
          <w:sz w:val="18"/>
        </w:rPr>
        <w:t xml:space="preserve">Staatsvertrag über den Mitteldeutschen Rundfunk (MDR)</w:t>
      </w:r>
    </w:p>
    <w:p>
      <w:r>
        <w:rPr>
          <w:color w:val="555555"/>
          <w:sz w:val="18"/>
        </w:rPr>
        <w:t xml:space="preserve">Landesrecht Sachsen</w:t>
      </w:r>
    </w:p>
    <w:p>
      <w:r>
        <w:rPr>
          <w:color w:val="555555"/>
          <w:sz w:val="18"/>
        </w:rPr>
        <w:t xml:space="preserve">Stand: 26.08.2026 (konsolidierte Textfassung, kein amtliches Inkrafttretensdatum)</w:t>
      </w:r>
    </w:p>
    <w:p>
      <w:r>
        <w:t xml:space="preserve">Sachsen-Anhalt erwartet, dass sich künftig die Festsetzung der Bezüge der Leitungsebenen in einem angemessenen Verhältnis entwickelt und die Vergütungsstruktur auf eine nachhaltige Unternehmensentwicklung ausgerichtet ist. Konkrete Orientierung für die Höhe des Grundgehaltes der Intendantin oder des Intendanten kann künftig die Höhe des Amtsgehaltes der Präsidentin bzw. des Präsidenten des Bundesverfassungsgerichts und für die Grundgehälter der Direktorinnen und Direktoren die Höhe des Amtsgehaltes der anderen Richterinnen und Richter des Bundesverfassungsgerichts bieten. Sachsen-Anhalt wird sich dafür einsetzen.</w:t>
      </w:r>
    </w:p>
    <w:p>
      <w:r>
        <w:rPr>
          <w:color w:val="555555"/>
          <w:sz w:val="17"/>
        </w:rPr>
        <w:t xml:space="preserve">Zitiervorschlag: Volltext SN-19075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https://recht.nulegal.eu/gesetze/SN-19075/volltext</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