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2 SN-19074 (Sachsen) — Inkrafttreten</w:t>
      </w:r>
    </w:p>
    <w:p>
      <w:r>
        <w:rPr>
          <w:color w:val="555555"/>
          <w:sz w:val="18"/>
        </w:rPr>
        <w:t xml:space="preserve">Gesetz zum Staatsvertrag über den Mitteldeutschen Rundfunk (MDR)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Dieses Gesetz tritt am Tag nach der Verkündung in Kraft.</w:t>
      </w:r>
    </w:p>
    <w:p>
      <w:r>
        <w:t xml:space="preserve">(2) Die Staatskanzlei macht im Sächsischen Gesetz- und Verordnungsblatt bekannt, ob der Staatsvertrag nach seinem § 44 in Kraft getreten oder gegenstandslos geworden ist.</w:t>
      </w:r>
    </w:p>
    <w:p>
      <w:r>
        <w:t xml:space="preserve">Dresden, den 24. März 2021</w:t>
      </w:r>
    </w:p>
    <w:p>
      <w:r>
        <w:t xml:space="preserve">Der Landtagspräsident</w:t>
      </w:r>
    </w:p>
    <w:p>
      <w:r>
        <w:t xml:space="preserve">Dr. Matthias Rößler</w:t>
      </w:r>
    </w:p>
    <w:p>
      <w:r>
        <w:t xml:space="preserve">Der Ministerpräsident</w:t>
      </w:r>
    </w:p>
    <w:p>
      <w:r>
        <w:t xml:space="preserve">Michael Kretschmer</w:t>
      </w:r>
    </w:p>
    <w:p>
      <w:r>
        <w:t xml:space="preserve">Chef der Staatskanzlei und</w:t>
      </w:r>
    </w:p>
    <w:p>
      <w:r>
        <w:t xml:space="preserve">Staatsminister für Bundesangelegenheiten und Medien</w:t>
      </w:r>
    </w:p>
    <w:p>
      <w:r>
        <w:t xml:space="preserve">Oliver Schenk</w:t>
      </w:r>
    </w:p>
    <w:p>
      <w:r>
        <w:rPr>
          <w:color w:val="555555"/>
          <w:sz w:val="17"/>
        </w:rPr>
        <w:t xml:space="preserve">Zitiervorschlag: Artikel 2 SN-19074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https://recht.nulegal.eu/gesetze/SN-19074/2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