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SN-19073 (Sachsen) — Eintragung und Dauer der Sperre</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Veranstalter und Vermittler von Glücksspielen, an denen gesperrte Spieler nicht teilnehmen dürfen, sperren Personen, die dies beantragen (Selbstsperre) oder von denen sie aufgrund der Wahrnehmung ihres Personals oder aufgrund von Meldungen Dritter wissen oder aufgrund sonstiger tatsächlicher Anhaltspunkte annehmen müssen, dass sie spielsuchtgefährdet oder überschuldet sind, ihren finanziellen Verpflichtungen nicht nachkommen oder Spiel­einsätze riskieren, die in keinem Verhältnis zu ihrem Einkommen oder Vermögen stehen (Fremdsperre).</w:t>
      </w:r>
    </w:p>
    <w:p>
      <w:r>
        <w:t xml:space="preserve">(2) Ein Antrag auf eine Selbstsperre oder Fremdsperre kann auch bei der für die Führung der Sperrdatei zuständigen Stelle gestellt werden.</w:t>
      </w:r>
    </w:p>
    <w:p>
      <w:r>
        <w:t xml:space="preserve">(3) Vor Eintragung einer Fremdsperre ist dem Spieler Gelegenheit zur Stellungnahme zu geben. Die Gelegenheit sowie eine etwaige Stellungnahme sind zu dokumentieren.</w:t>
      </w:r>
    </w:p>
    <w:p>
      <w:r>
        <w:t xml:space="preserve">(4) Die Veranstalter, die Vermittler und im Fall des Absatzes 2 die für die Führung der Sperrdatei zuständige Stelle haben die in § 23 Absatz 1 genannten Daten in eine Sperrdatei einzutragen. Ein Eintrag ist auch vorzunehmen, wenn nicht alle Daten erhoben werden können.</w:t>
      </w:r>
    </w:p>
    <w:p>
      <w:r>
        <w:t xml:space="preserve">(5) Der die Sperrung Eintragende teilt der betroffenen Person unverzüglich in Textform mit, dass für seine Person eine Sperre eingetragen ist und informiert sie über das Verfahren zur Beendigung der Sperre.</w:t>
      </w:r>
    </w:p>
    <w:p>
      <w:r>
        <w:t xml:space="preserve">(6) Die Sperre beträgt mindestens ein Jahr, es sei denn, die eine Selbstsperre beantragende Person beantragt einen abweichenden Zeitraum, der jedoch drei Monate nicht unterschreiten darf. Wird eine kürzere Dauer als drei Monate angegeben, gilt dies als Angabe von drei Monaten.</w:t>
      </w:r>
    </w:p>
    <w:p>
      <w:r>
        <w:t xml:space="preserve">(7) Die nach Absatz 1 Verpflichteten haben die Sperranträge bei Selbstsperren und die bei Fremdsperren anfallenden Unterlagen aufzubewahren. Bei Geschäftsaufgabe, Fusionen, Insolvenz oder dem Vorliegen sonstiger Gründe, die die weitere Aufbewahrung dieser Unterlagen durch den die Sperre veranlassenden Verpflichteten im Sinne des Absatzes 1 unmöglich machen, hat dieser sämtliche die Sperre betreffenden Unterlagen der für die Führung der Sperrdatei zuständigen Behörde auszuhändigen. Ist ein Rechtsnachfolger vorhanden, kann die für die Führung der Sperrdatei zuständige Behörde diesem die Sperren zuordnen und ihm die zugehörigen Unterlagen zur verantwortlichen Aufbewahrung übergeben.</w:t>
      </w:r>
    </w:p>
    <w:p>
      <w:r>
        <w:rPr>
          <w:color w:val="555555"/>
          <w:sz w:val="17"/>
        </w:rPr>
        <w:t xml:space="preserve">Zitiervorschlag: § 8a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