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SN-19073 (Sachsen) — Spielersperrsystem; Abgleich mit dem Sperrsystem</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Zum Schutz der Spieler und zur Bekämpfung der Glücksspielsucht wird ein zentrales, spielformübergreifendes Sperrsystem (§ 23) errichtet und unterhalten. Das Sperrsystem wird für alle Länder einheitlich von der zuständigen Glücksspielaufsichtsbehörde des Landes Hessen betrieben. Diese Zuständigkeit für die Führung der Spielersperrdatei beinhaltet auch die zentrale Zuständigkeit für den Anschluss der nach § 8 Absatz 3 zum Abgleich Verpflichteten an das Sperrsystem und die Erhebung der Kosten nach § 8c von den Verpflichteten. Soweit in diesem Staatsvertrag nichts anderes bestimmt ist, findet bei Erfüllung der Aufgaben nach den Sätzen 1 bis 3 das Recht des Landes Hessen Anwendung. Die dem Land Hessen für die Erfüllung seiner Aufgaben nach den Sätzen 1 bis 3 entstehenden notwendigen Kosten einschließlich der Kosten für den Aufbau der Verwaltungsinfrastruktur werden von allen Ländern nach dem im Jahr des Beschlusses über den Wirtschaftsplan für die Führung des Sperrsystems gültigen Königsteiner Schlüssel getragen. Die Einnahmen aus der Erhebung von Kosten nach § 8c werden gesondert ausgewiesen und den Ländern nach dem Königsteiner Schlüssel erstattet. Einzelheiten zum Wirtschaftsplan werden in einer Verwaltungsvereinbarung der Länder geregelt. Findet dieser Staatsvertrag in weniger als 16 Ländern Anwendung, ist der Königsteiner Schlüssel entsprechend § 27c Absatz 3 Satz 2 bis 4 zu modifizieren. Die zuständigen Behörden des Landes Hessen sind bei Wahrnehmung der Aufgaben nach den Sätzen 1 bis 3 an Entscheidungsrichtlinien nach § 27h Absatz 9 gebunden und unterliegen der Fach- und Rechtsaufsicht der für die Glücksspielaufsicht zuständigen obersten Landesbehörde des Landes Hessen in entsprechender Anwendung von § 27l. Einer Entscheidungsrichtlinie nach § 27h Absatz 9 entgegenstehende Maßnahmen der Rechts- oder Fachaufsicht sind unwirksam.</w:t>
      </w:r>
    </w:p>
    <w:p>
      <w:r>
        <w:t xml:space="preserve">(2) Gesperrte Spieler dürfen an öffentlichen Glücksspielen nicht teilnehmen. Von dem Verbot ausgenommen ist die Teilnahme an Lotterien, die nicht häufiger als zweimal pro Woche veranstaltet werden, an Lotterien in Form des Gewinnsparens und an Pferdewetten, die von Vereinen, die das Unternehmen eines Totalisatoren nach § 1 des Rennwett- und Lotteriegesetzes betreiben, oder auf einer inländischen Pferderennbahn stationär angeboten werden. Sofortlotterien im Internet gelten nicht als Lotterien im Sinne des Satzes 2.</w:t>
      </w:r>
    </w:p>
    <w:p>
      <w:r>
        <w:t xml:space="preserve">(3) Veranstalter und Vermittler von Glücksspielen, an denen gesperrte Spieler nicht teilnehmen dürfen, sind verpflichtet, spielwillige Personen durch Kontrolle eines amtlichen Ausweises oder eine vergleichbare Identitätskontrolle zu identifizieren und einen Abgleich mit der Sperrdatei nach § 23 durchzuführen. Bei Glücksspielen im Internet erfolgt die Identifizierung vor dem Abgleich mithilfe geeigneter technischer Verfahren. Veranstalter und Vermittler von Glücksspielen haben sicherzustellen, dass gesperrte Spieler nicht an Glücksspielen teilnehmen. Bei Glücksspielen im Internet hat der Abgleich zu dem Zeitpunkt zu erfolgen, zu dem die Übermittlung des Anbieters nach § 6h Absatz 3 Satz 1 zu erfolgen hat. Im terrestrischen Bereich ist der Abgleich in Wettvermittlungsstellen, in Spielhallen und in Spielbanken bei jedem Betreten und im Übrigen vor dem ersten Spiel während eines Aufenthalts in der jeweiligen Spielstätte vorzunehmen. Der Abgleich darf ausschließlich über die Zugangskennung, die der jeweiligen Betriebsstätte im terrestrischen Bereich oder der jeweiligen Internetdomain bei Glücksspielen im Internet zugeordnet ist, erfolgen. Die Weitergabe an Dritte und die Zulassung einer Nutzung der Zugangskennung durch Dritte sind verboten.</w:t>
      </w:r>
    </w:p>
    <w:p>
      <w:r>
        <w:t xml:space="preserve">(4) Veranstalter und Vermittler von Glücksspielen, an denen gesperrte Spieler nicht teilnehmen dürfen, dürfen nicht auf diese einwirken, einen Antrag auf Entsperrung zu stellen. Es dürfen keine Vorteile wie Boni oder Rabatte für Spieler, deren Spielersperre aufgehoben worden ist, gewährt werden.</w:t>
      </w:r>
    </w:p>
    <w:p>
      <w:r>
        <w:rPr>
          <w:color w:val="555555"/>
          <w:sz w:val="17"/>
        </w:rPr>
        <w:t xml:space="preserve">Zitiervorschlag: § 8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