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6g SN-19073 (Sachsen) — Datenschutz, Speicherung, Aufbewahrung und Löschung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Erlaubnisinhaber müssen die personenbezogenen Daten der Spieler ab Schließung des Spielkontos fünf Jahre aufbewahren. Nach Ablauf des Zeitraums sind die personenbezogenen Daten zu löschen.</w:t>
      </w:r>
    </w:p>
    <w:p>
      <w:r>
        <w:t xml:space="preserve">(2) Vorhandene personenbezogene Daten sind jederzeit wirksam vor unbefugtem Zugriff zu schützen.</w:t>
      </w:r>
    </w:p>
    <w:p>
      <w:r>
        <w:t xml:space="preserve">(3) Die betroffenen Personen sind über Art und Umfang der Speicherung, der Aufbewahrung und Löschung ihrer personenbezogenen Daten zu informieren.</w:t>
      </w:r>
    </w:p>
    <w:p>
      <w:r>
        <w:rPr>
          <w:color w:val="555555"/>
          <w:sz w:val="17"/>
        </w:rPr>
        <w:t xml:space="preserve">Zitiervorschlag: § 6g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https://recht.nulegal.eu/gesetze/SN-19073/6g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