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6e SN-19073 (Sachsen) — Weitere Bestimmungen zum Jugend- und Spielerschutz bei Glücksspielen im Internet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Ausschluss Minderjähriger und gesperrter Spieler muss jederzeit durch geeignete technische Verfahren zur Identifizierung und Authentifizierung sichergestellt sein. In der Erlaubnis können Vorgaben zur Durchführung der Identifizierung und Authentifizierung festgelegt werden, insbesondere kann festgelegt werden, dass in regelmäßigen Zeitabständen, die in der Erlaubnis zu bestimmen sind, abweichend von der gewöhnlich angewendeten Authentifizierungsmethode eine weitere Authentifizierungsmethode angewandt werden muss.</w:t>
      </w:r>
    </w:p>
    <w:p>
      <w:r>
        <w:t xml:space="preserve">(2) Bei Glücksspielen im Internet verwendete Zufallsgeneratoren sind vor ihrem erstmaligen Einsatz und danach mindestens einmal im Jahr auf Kosten des Erlaubnisinhabers von einer von diesem unabhängigen sachverständigen Stelle, die von der zuständigen Erlaubnisbehörde zu bestimmen ist, auf ihre ordnungsgemäße Funktion zu überprüfen. Das Ergebnis ist der zuständigen Erlaubnisbehörde unverzüglich mitzuteilen.</w:t>
      </w:r>
    </w:p>
    <w:p>
      <w:r>
        <w:t xml:space="preserve">(3) Das Angebot von öffentlichen Glücksspielen im Internet muss unter einer Internetdomain angeboten werden, deren länderspezifische Domain oberster Stufe „.de“ ist. Auf der Startseite der unter dem Domain-Namen aufrufbaren Internetseiten des Erlaubnisinhabers muss an jeweils einer gut sichtbaren Stelle platziert werden, dass die Teilnahme an Glücksspielen für Personen unter 18 Jahren unzulässig ist und der Erlaubnisinhaber über eine Erlaubnis der zuständigen Glücksspielaufsichtsbehörde verfügt und unter deren Aufsicht steht. Der direkte Aufruf der Internetdomain der zuständigen Glücksspielaufsichtsbehörde muss vorgesehen sein.</w:t>
      </w:r>
    </w:p>
    <w:p>
      <w:r>
        <w:t xml:space="preserve">(4) Alle Informationen, die der Erlaubnisinhaber Spielern zur Verfügung stellen muss, müssen auf der das Glücksspiel­angebot enthaltenen Internetdomain des Erlaubnisinhabers in deutscher Sprache zugänglich und von allen Seiten der Domain aufrufbar sein.</w:t>
      </w:r>
    </w:p>
    <w:p>
      <w:r>
        <w:t xml:space="preserve">(5) Spieler sind im Rahmen der Spielteilnahme unmittelbar über die Risiken und möglichen negativen sozialen Folgen des Glücksspiels aufzuklären. Informationen zur Glücksspielsucht sind zur Verfügung zu stellen. Der direkte Aufruf der Internetdomains von unabhängigen Beratungsinstitutionen ist zu ermöglichen.</w:t>
      </w:r>
    </w:p>
    <w:p>
      <w:r>
        <w:rPr>
          <w:color w:val="555555"/>
          <w:sz w:val="17"/>
        </w:rPr>
        <w:t xml:space="preserve">Zitiervorschlag: § 6e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