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SN-19073 (Sachsen) — Sozialkonzept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Veranstalter und Vermittler von öffentlichen Glücksspielen sind verpflichtet, den Jugend- und Spielerschutz sicherzustellen, die Spieler zu verantwortungsbewusstem Spiel anzuhalten und der Entstehung von Glücksspielsucht vorzubeugen.</w:t>
      </w:r>
    </w:p>
    <w:p>
      <w:r>
        <w:t xml:space="preserve">(2) Zu diesen Zwecken haben die Veranstalter und Vermittler von öffentlichen Glücksspielen Sozialkonzepte zu entwickeln und umzusetzen. In den Sozialkonzepten ist darzulegen, mit welchen Maßnahmen den sozialschädlichen Auswirkungen des Glücksspiels vorgebeugt werden soll und wie diese behoben werden sollen. Die Sozialkonzepte sind differenziert auf die verschiedenen Glücksspielformen abzustimmen und müssen mindestens folgende Inhalte enthalten:</w:t>
      </w:r>
    </w:p>
    <w:p>
      <w:r>
        <w:t xml:space="preserve">1. Benennung von Beauftragten für das Sozialkonzept beim Erlaubnisinhaber gemäß § 4 und bei terrestrischen Glücksspielangeboten zusätzlich die Benennung einer verantwortlichen Person vor Ort;</w:t>
      </w:r>
    </w:p>
    <w:p>
      <w:r>
        <w:t xml:space="preserve">2. Berücksichtigung der Anliegen nach Absatz 1 in der internen Unternehmenskommunikation, bei der Werbung sowie beim Sponsoring;</w:t>
      </w:r>
    </w:p>
    <w:p>
      <w:r>
        <w:t xml:space="preserve">3. regelmäßige Personalschulungen für das Aufsichtspersonal in den Spielstätten, für die Erlaubnisinhaber gemäß § 4 sowie für die Beauftragten gemäß Nummer 1 unter Einbindung suchtfachlich sowie pädagogisch qualifizierter Dritter mit folgenden Mindestinhalten:</w:t>
      </w:r>
    </w:p>
    <w:p>
      <w:r>
        <w:t xml:space="preserve">a)</w:t>
      </w:r>
    </w:p>
    <w:p>
      <w:r>
        <w:t xml:space="preserve">Rechtsgrundlagen zum Jugend- und Spielerschutz unter Berücksichtigung der verschiedenen Glücksspielformen,</w:t>
      </w:r>
    </w:p>
    <w:p>
      <w:r>
        <w:t xml:space="preserve">b)</w:t>
      </w:r>
    </w:p>
    <w:p>
      <w:r>
        <w:t xml:space="preserve">Kenntnissen zur Glücksspielsucht einschließlich anbieterunabhängiger Hilfeangebote und</w:t>
      </w:r>
    </w:p>
    <w:p>
      <w:r>
        <w:t xml:space="preserve">c)</w:t>
      </w:r>
    </w:p>
    <w:p>
      <w:r>
        <w:t xml:space="preserve">Vermittlung von Handlungskompetenzen insbesondere in der Früherkennung auffälligen Spielverhaltens und Kommunikation mit Spielern;</w:t>
      </w:r>
    </w:p>
    <w:p>
      <w:r>
        <w:t xml:space="preserve">4. Umsetzung des Jugendschutzes und der Identitätskon­trollen einschließlich des Abgleichs mit der Sperrdatei;</w:t>
      </w:r>
    </w:p>
    <w:p>
      <w:r>
        <w:t xml:space="preserve">5. Aufklärung nach § 7 einschließlich des Verweises auf die Telefonberatung mit bundesweit einheitlicher Telefonnummer und der Bereitstellung von Informationen mit folgenden Mindestinhalten:</w:t>
      </w:r>
    </w:p>
    <w:p>
      <w:r>
        <w:t xml:space="preserve">a)</w:t>
      </w:r>
    </w:p>
    <w:p>
      <w:r>
        <w:t xml:space="preserve">Suchtrisiko und mögliche negative Folgen der verschiedenen Glücksspiele,</w:t>
      </w:r>
    </w:p>
    <w:p>
      <w:r>
        <w:t xml:space="preserve">b)</w:t>
      </w:r>
    </w:p>
    <w:p>
      <w:r>
        <w:t xml:space="preserve">Teilnahmeverbot Minderjähriger,</w:t>
      </w:r>
    </w:p>
    <w:p>
      <w:r>
        <w:t xml:space="preserve">c)</w:t>
      </w:r>
    </w:p>
    <w:p>
      <w:r>
        <w:t xml:space="preserve">Hinweise zu verantwortungsbewusstem Spielverhalten,</w:t>
      </w:r>
    </w:p>
    <w:p>
      <w:r>
        <w:t xml:space="preserve">d)</w:t>
      </w:r>
    </w:p>
    <w:p>
      <w:r>
        <w:t xml:space="preserve">Möglichkeit der Einschätzung des eigenen Spielverhaltens und der persönlichen Gefährdung,</w:t>
      </w:r>
    </w:p>
    <w:p>
      <w:r>
        <w:t xml:space="preserve">e)</w:t>
      </w:r>
    </w:p>
    <w:p>
      <w:r>
        <w:t xml:space="preserve">Hinweise zu anbieterunabhängigen Hilfeangeboten, wobei bei Glücksspielen im Internet der direkte Aufruf der Internetdomains von unabhängigen Beratungsinstitutionen zu ermöglichen und auf die Unabhängigkeit der entsprechenden Hilfeangebote besonders hinzuweisen ist, und</w:t>
      </w:r>
    </w:p>
    <w:p>
      <w:r>
        <w:t xml:space="preserve">f)</w:t>
      </w:r>
    </w:p>
    <w:p>
      <w:r>
        <w:t xml:space="preserve">Sperrverfahren;</w:t>
      </w:r>
    </w:p>
    <w:p>
      <w:r>
        <w:t xml:space="preserve">6. Früherkennung unter Einbeziehung suchtwissenschaftlicher Erkenntnisse;</w:t>
      </w:r>
    </w:p>
    <w:p>
      <w:r>
        <w:t xml:space="preserve">7. Frühintervention und Information über regionale Suchtberatungsstellen sowie andere anbieterunabhängige Hilfeangebote;</w:t>
      </w:r>
    </w:p>
    <w:p>
      <w:r>
        <w:t xml:space="preserve">8. Umsetzung der Sperrverfahren mit Selbst- und Fremdsperren;</w:t>
      </w:r>
    </w:p>
    <w:p>
      <w:r>
        <w:t xml:space="preserve">9. kontinuierliche Dokumentation der durchgeführten Maßnahmen zum Zweck von Rückschlüssen auf die Auswirkungen der jeweils angebotenen Glücksspiele auf das Spielverhalten und auf die Entstehung von Glücksspielsucht sowie zur Beurteilung des Erfolgs der durchgeführten Maßnahmen zum Jugend- und Spielerschutz;</w:t>
      </w:r>
    </w:p>
    <w:p>
      <w:r>
        <w:t xml:space="preserve">10. Berichterstattung unter Zugrundelegung der Dokumentation nach Nummer 9 alle zwei Jahre gegenüber den Glücksspielaufsichtsbehörden oder sonstigen zuständigen Erlaubnisbehörden.</w:t>
      </w:r>
    </w:p>
    <w:p>
      <w:r>
        <w:t xml:space="preserve">(3) Das leitende Personal von Veranstaltern von öffentlichen Glücksspielen darf nicht in Abhängigkeit vom Umsatz vergütet werden. Das in Spielstätten beschäftigte Personal sowie das im Zusammenhang mit Glücksspielen im Internet tätige Personal wird vom dort angebotenen Glücksspiel ausgeschlossen.</w:t>
      </w:r>
    </w:p>
    <w:p>
      <w:r>
        <w:t xml:space="preserve">(4) Die Veranstalter und Vermittler von öffentlichen Glücksspielen sind berechtigt und auf Verlangen der zuständigen Behörde verpflichtet, im Zusammenhang mit dem Sozialkonzept erhobene Daten anonymisiert den Ländern für Zwecke der Glücksspielsuchtforschung nach § 11 zur Verfügung zu stellen.</w:t>
      </w:r>
    </w:p>
    <w:p>
      <w:r>
        <w:rPr>
          <w:color w:val="555555"/>
          <w:sz w:val="17"/>
        </w:rPr>
        <w:t xml:space="preserve">Zitiervorschlag: § 6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