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4d SN-19073 (Sachsen) — Pflichten; Aufsichtliche Maßnahmen bei Sportwetten, Online-Poker und virtuellen Automatenspielen</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Inhaber einer Erlaubnis für die Veranstaltung von Sportwetten, Online-Poker oder virtuellen Automatenspielen ist verpflichtet, jede Änderung der für die Erteilung der Erlaubnis maßgeblichen Umstände unverzüglich der zuständigen Behörde mitzuteilen. § 4b findet entsprechende Anwendung. Die Aufhebung eines Vertretungsverhältnisses nach § 4a Absatz 1 Nummer 3 Buchstabe c erlangt gegenüber den zuständigen Behörden erst durch die Bestellung eines neuen Empfangs- und Vertretungsbevollmächtigten und schriftliche Mitteilung Wirksamkeit.</w:t>
      </w:r>
    </w:p>
    <w:p>
      <w:r>
        <w:t xml:space="preserve">(2) Bei Personengesellschaften ist jede geplante Veränderung von Beteiligungsverhältnissen oder sonstigen Einflüssen, bei juristischen Personen nur solche, die mehr als fünf Prozent des Grundkapitals oder des Stimmrechts betreffen, der zuständigen Behörde schriftlich anzuzeigen. Anzeigepflichtig sind der Erlaubnisinhaber und die an ihm unmittelbar oder mittelbar Beteiligten. Die Veränderungen dürfen nur dann von der zuständigen Behörde als unbedenklich bestätigt werden, wenn unter den veränderten Voraussetzungen eine Erlaubnis erteilt werden könnte. Wird eine geplante Veränderung vollzogen, die nicht nach Satz 3 als unbedenklich bestätigt werden kann, ist die Erlaubnis zu widerrufen; das Nähere des Widerrufs richtet sich nach dem jeweils anwendbaren Landesrecht. Unbeschadet der Anzeigepflichten nach Satz 1 sind der Erlaubnisinhaber und die an ihm unmittelbar oder mittelbar Beteiligten jeweils nach Ablauf eines Kalenderjahres verpflichtet, unverzüglich der zuständigen Behörde gegenüber eine Erklärung darüber abzugeben, ob und inwieweit innerhalb des abgelaufenen Kalenderjahres bei den Beteiligungs- und Zurechnungstatbeständen eine Veränderung eingetreten ist.</w:t>
      </w:r>
    </w:p>
    <w:p>
      <w:r>
        <w:t xml:space="preserve">(3) Der Erlaubnisinhaber hat abweichend von § 6 Absatz 2 Satz 3 Nummer 10 jährlich zu berichten. Die Richtigkeit der Erhebung und Übermittlung der Daten kann in regelmäßigen Abständen durch eine unabhängige Stelle überprüft werden. Mit dem Bericht ist auch der Prüfbericht einer geeigneten externen und unabhängigen Stelle über die Einhaltung der technischen Standards und die Wirksamkeit der im Sicherheitskonzept vorgesehenen und in der Erlaubnis vorgeschriebenen Sicherheitsmaßnahmen vorzulegen. Auf Anforderung der zuständigen Behörde hat der Erlaubnisinhaber zudem Kontodaten zur Verfügung zu stellen, soweit die Umsätze nicht über ein inländisches Konto abgewickelt werden.</w:t>
      </w:r>
    </w:p>
    <w:p>
      <w:r>
        <w:t xml:space="preserve">(4) Verletzt ein Erlaubnisinhaber eine nach Absatz 1, Absatz 2 Satz 5 und Absatz 3 bestehende Mitteilungspflicht oder die nach § 4c Absatz 2 festgelegten Inhalts- und Nebenbestimmungen der Erlaubnis, kann die zuständige Behörde ihn unter Setzung einer angemessenen Frist zur Einhaltung der Pflichten auffordern. Werden nach Ablauf der Frist die Pflichten nicht oder nicht vollständig erfüllt, kann die zuständige Behörde unter Berücksichtigung der Schwere des Verstoßes insbesondere folgende Maßnahmen ergreifen:</w:t>
      </w:r>
    </w:p>
    <w:p>
      <w:r>
        <w:t xml:space="preserve">1. öffentliche Abmahnung mit erneuter Fristsetzung,</w:t>
      </w:r>
    </w:p>
    <w:p>
      <w:r>
        <w:t xml:space="preserve">2. Aussetzung der Erlaubnis für drei Monate,</w:t>
      </w:r>
    </w:p>
    <w:p>
      <w:r>
        <w:t xml:space="preserve">3. Reduzierung der Dauer der Erlaubnis um ein Viertel der gesamten Laufzeit oder</w:t>
      </w:r>
    </w:p>
    <w:p>
      <w:r>
        <w:t xml:space="preserve">4. Widerruf der Erlaubnis.</w:t>
      </w:r>
    </w:p>
    <w:p>
      <w:r>
        <w:t xml:space="preserve">Gleiches gilt für den Fall, dass der Erlaubnisinhaber selbst oder ein mit ihm verbundenes Unternehmen im Geltungsbereich dieses Staatsvertrages unerlaubte Glücksspiele veranstaltet oder vermittelt. Die § 49 des Verwaltungsverfahrensgesetzes entsprechenden Vorschriften der Verwaltungsverfahrensgesetze der Länder bleiben anwendbar. § 9 Absatz 4 Satz 3 ist anwendbar.</w:t>
      </w:r>
    </w:p>
    <w:p>
      <w:r>
        <w:rPr>
          <w:color w:val="555555"/>
          <w:sz w:val="17"/>
        </w:rPr>
        <w:t xml:space="preserve">Zitiervorschlag: § 4d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https://recht.nulegal.eu/gesetze/SN-19073/4d</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