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SN-19073 (Sachsen) — Erlaubniserteilung bei Sportwetten, Online-Poker und virtuellen Automatenspielen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zuständige Behörde erteilt die Erlaubnis für die Veranstaltung von Sportwetten, Online-Poker oder virtuellen Automatenspielen schriftlich mit Wirkung für alle Länder; bei erstmaliger Erteilung an den Antragsteller wird sie für eine Dauer von fünf Jahren, im Übrigen für eine Dauer von sieben Jahren erteilt. In begründeten Fällen kann die zuständige Behörde eine kürzere Dauer festlegen. Die Erlaubnis darf nur nach Zustimmung der zuständigen Behörde einem Dritten übertragen oder zur Ausübung überlassen werden.</w:t>
      </w:r>
    </w:p>
    <w:p>
      <w:r>
        <w:t xml:space="preserve">(2) In der Erlaubnis sind die Inhalts- und Nebenbestimmungen festzulegen, die zur dauernden Sicherstellung der Erlaubnisvoraussetzungen sowie zur Einhaltung und Überwachung der nach diesem Staatsvertrag bestehenden und im Angebot übernommenen Pflichten erforderlich sind.</w:t>
      </w:r>
    </w:p>
    <w:p>
      <w:r>
        <w:t xml:space="preserve">(3) Die Erteilung der Erlaubnis setzt voraus, dass der Antragsteller zur Sicherstellung von Auszahlungsansprüchen der Spieler und von staatlichen Zahlungsansprüchen eine Sicherheitsleistung in Form einer unbefristeten selbstschuldnerischen Bankbürgschaft eines Kreditinstituts mit Sitz in der Europäischen Union oder in einem Vertragsstaat des Abkommens über den Europäischen Wirtschaftsraum erbringt. Die Sicherheitsleistung beläuft sich auf fünf Millionen Euro. Sie kann von der Behörde, die die Erlaubnis erteilt, bis zur Höhe des zu erwartenden Durchschnittsumsatzes eines Monats, maximal auf 50 Millionen Euro, erhöht werden.</w:t>
      </w:r>
    </w:p>
    <w:p>
      <w:r>
        <w:rPr>
          <w:color w:val="555555"/>
          <w:sz w:val="17"/>
        </w:rPr>
        <w:t xml:space="preserve">Zitiervorschlag: § 4c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https://recht.nulegal.eu/gesetze/SN-19073/4c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